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0FC59E" w14:textId="1527E5B5" w:rsidR="00D303EF" w:rsidRDefault="009D28C3" w:rsidP="00D13ECC">
      <w:pPr>
        <w:spacing w:after="80"/>
        <w:ind w:right="222"/>
        <w:rPr>
          <w:rFonts w:ascii="Arial" w:hAnsi="Arial" w:cs="Arial"/>
          <w:b/>
          <w:color w:val="000000"/>
          <w:sz w:val="24"/>
          <w:szCs w:val="24"/>
        </w:rPr>
      </w:pPr>
      <w:r>
        <w:rPr>
          <w:rFonts w:ascii="Arial" w:hAnsi="Arial" w:cs="Arial"/>
          <w:b/>
          <w:color w:val="000000"/>
          <w:sz w:val="24"/>
          <w:szCs w:val="24"/>
        </w:rPr>
        <w:t xml:space="preserve"> </w:t>
      </w:r>
    </w:p>
    <w:p w14:paraId="3BB79731" w14:textId="2ECE85DA" w:rsidR="005F71F8" w:rsidRDefault="005F71F8" w:rsidP="005F71F8">
      <w:pPr>
        <w:jc w:val="center"/>
      </w:pPr>
      <w:r w:rsidRPr="00D303EF">
        <w:rPr>
          <w:rFonts w:ascii="Arial" w:hAnsi="Arial" w:cs="Arial"/>
          <w:b/>
          <w:sz w:val="24"/>
          <w:szCs w:val="24"/>
        </w:rPr>
        <w:t xml:space="preserve">INFORME TÉCNICO DE EVALUACIÓN DE </w:t>
      </w:r>
      <w:r>
        <w:rPr>
          <w:rFonts w:ascii="Arial" w:hAnsi="Arial" w:cs="Arial"/>
          <w:b/>
          <w:sz w:val="24"/>
          <w:szCs w:val="24"/>
        </w:rPr>
        <w:t>TABLAS DE RETENCIÓN DOCUMENTAL (TRD)</w:t>
      </w:r>
    </w:p>
    <w:p w14:paraId="2CB3176C" w14:textId="77777777" w:rsidR="00E041DD" w:rsidRDefault="00E041DD" w:rsidP="00D13ECC">
      <w:pPr>
        <w:spacing w:after="80"/>
        <w:ind w:right="222"/>
        <w:rPr>
          <w:rFonts w:ascii="Arial" w:hAnsi="Arial" w:cs="Arial"/>
          <w:b/>
          <w:color w:val="000000"/>
          <w:sz w:val="24"/>
          <w:szCs w:val="24"/>
        </w:rPr>
      </w:pPr>
    </w:p>
    <w:p w14:paraId="09C3C091" w14:textId="02C0BF51" w:rsidR="00E041DD" w:rsidRDefault="00D303EF" w:rsidP="00E041DD">
      <w:pPr>
        <w:spacing w:after="80"/>
        <w:ind w:right="222"/>
        <w:rPr>
          <w:rFonts w:ascii="Arial" w:hAnsi="Arial" w:cs="Arial"/>
          <w:b/>
          <w:bCs/>
          <w:color w:val="000000"/>
          <w:sz w:val="24"/>
          <w:szCs w:val="24"/>
          <w:lang w:val="es-CO"/>
        </w:rPr>
      </w:pPr>
      <w:r w:rsidRPr="00E041DD">
        <w:rPr>
          <w:rFonts w:ascii="Arial" w:hAnsi="Arial" w:cs="Arial"/>
          <w:b/>
          <w:bCs/>
          <w:color w:val="000000"/>
          <w:sz w:val="24"/>
          <w:szCs w:val="24"/>
          <w:lang w:val="es-CO"/>
        </w:rPr>
        <w:t>OBJETIVO</w:t>
      </w:r>
    </w:p>
    <w:p w14:paraId="115E8841" w14:textId="40FC96C4" w:rsidR="00D303EF" w:rsidRPr="006E0ED9" w:rsidRDefault="00D303EF" w:rsidP="006E0ED9">
      <w:pPr>
        <w:spacing w:after="240"/>
        <w:jc w:val="both"/>
        <w:rPr>
          <w:rFonts w:ascii="Arial" w:eastAsia="Arial" w:hAnsi="Arial" w:cs="Arial"/>
          <w:sz w:val="24"/>
          <w:szCs w:val="24"/>
        </w:rPr>
      </w:pPr>
      <w:r w:rsidRPr="006E0ED9">
        <w:rPr>
          <w:rFonts w:ascii="Arial" w:eastAsia="Arial" w:hAnsi="Arial" w:cs="Arial"/>
          <w:sz w:val="24"/>
          <w:szCs w:val="24"/>
        </w:rPr>
        <w:t xml:space="preserve">Evaluar, asesorar, formular y emitir el Informe Técnico de Evaluación de </w:t>
      </w:r>
      <w:r w:rsidR="006523B4" w:rsidRPr="006E0ED9">
        <w:rPr>
          <w:rFonts w:ascii="Arial" w:eastAsia="Arial" w:hAnsi="Arial" w:cs="Arial"/>
          <w:sz w:val="24"/>
          <w:szCs w:val="24"/>
        </w:rPr>
        <w:t>la Tabla</w:t>
      </w:r>
      <w:r w:rsidR="006E0ED9" w:rsidRPr="006E0ED9">
        <w:rPr>
          <w:rFonts w:ascii="Arial" w:eastAsia="Arial" w:hAnsi="Arial" w:cs="Arial"/>
          <w:sz w:val="24"/>
          <w:szCs w:val="24"/>
        </w:rPr>
        <w:t xml:space="preserve"> </w:t>
      </w:r>
      <w:r w:rsidR="006523B4" w:rsidRPr="006E0ED9">
        <w:rPr>
          <w:rFonts w:ascii="Arial" w:eastAsia="Arial" w:hAnsi="Arial" w:cs="Arial"/>
          <w:sz w:val="24"/>
          <w:szCs w:val="24"/>
        </w:rPr>
        <w:t xml:space="preserve">de Retención Documental </w:t>
      </w:r>
      <w:r w:rsidRPr="006E0ED9">
        <w:rPr>
          <w:rFonts w:ascii="Arial" w:eastAsia="Arial" w:hAnsi="Arial" w:cs="Arial"/>
          <w:sz w:val="24"/>
          <w:szCs w:val="24"/>
        </w:rPr>
        <w:t>de</w:t>
      </w:r>
      <w:r w:rsidR="006639EA">
        <w:rPr>
          <w:rFonts w:ascii="Arial" w:eastAsia="Arial" w:hAnsi="Arial" w:cs="Arial"/>
          <w:sz w:val="24"/>
          <w:szCs w:val="24"/>
        </w:rPr>
        <w:t xml:space="preserve">l Concejo de Cachipay </w:t>
      </w:r>
      <w:r w:rsidRPr="006E0ED9">
        <w:rPr>
          <w:rFonts w:ascii="Arial" w:eastAsia="Arial" w:hAnsi="Arial" w:cs="Arial"/>
          <w:sz w:val="24"/>
          <w:szCs w:val="24"/>
        </w:rPr>
        <w:t>(Cundinamarca), con el fin de su convalidación ante el Consejo Departamental de Archivos de Cundinamarca.</w:t>
      </w:r>
    </w:p>
    <w:p w14:paraId="7BBBE60B" w14:textId="72752D74" w:rsidR="00B82720" w:rsidRDefault="00B82720" w:rsidP="006E0ED9">
      <w:pPr>
        <w:spacing w:after="240"/>
        <w:jc w:val="both"/>
        <w:rPr>
          <w:rFonts w:ascii="Arial" w:eastAsia="Arial" w:hAnsi="Arial" w:cs="Arial"/>
          <w:sz w:val="24"/>
          <w:szCs w:val="24"/>
        </w:rPr>
      </w:pPr>
      <w:r>
        <w:rPr>
          <w:rFonts w:ascii="Arial" w:eastAsia="Arial" w:hAnsi="Arial" w:cs="Arial"/>
          <w:sz w:val="24"/>
          <w:szCs w:val="24"/>
        </w:rPr>
        <w:t xml:space="preserve">Para esta evaluación se tendrá en cuenta lo que dice el </w:t>
      </w:r>
      <w:r>
        <w:rPr>
          <w:rFonts w:ascii="Arial" w:eastAsia="Arial" w:hAnsi="Arial" w:cs="Arial"/>
          <w:b/>
          <w:bCs/>
          <w:sz w:val="24"/>
          <w:szCs w:val="24"/>
        </w:rPr>
        <w:t>Acuerdo 001 de 2024</w:t>
      </w:r>
      <w:r>
        <w:rPr>
          <w:rFonts w:ascii="Arial" w:eastAsia="Arial" w:hAnsi="Arial" w:cs="Arial"/>
          <w:sz w:val="24"/>
          <w:szCs w:val="24"/>
        </w:rPr>
        <w:t xml:space="preserve"> del Archivo General de la Nación, que establece las reglas únicas de la función archivística y los criterios técnicos y legales que deben aplicarse en las entidades públicas. También se usará la </w:t>
      </w:r>
      <w:r>
        <w:rPr>
          <w:rFonts w:ascii="Arial" w:eastAsia="Arial" w:hAnsi="Arial" w:cs="Arial"/>
          <w:b/>
          <w:bCs/>
          <w:sz w:val="24"/>
          <w:szCs w:val="24"/>
        </w:rPr>
        <w:t>Guía Metodológica para la Evaluación de Tablas de Retención Documental y Tablas de Valoración Documental</w:t>
      </w:r>
      <w:r>
        <w:rPr>
          <w:rFonts w:ascii="Arial" w:eastAsia="Arial" w:hAnsi="Arial" w:cs="Arial"/>
          <w:sz w:val="24"/>
          <w:szCs w:val="24"/>
        </w:rPr>
        <w:t>, publicada en 2024 por el mismo Archivo General de la Nación.</w:t>
      </w:r>
    </w:p>
    <w:p w14:paraId="3972AE18" w14:textId="77777777" w:rsidR="00B82720" w:rsidRDefault="00B82720" w:rsidP="00D303EF">
      <w:pPr>
        <w:spacing w:after="80"/>
        <w:ind w:right="222"/>
        <w:rPr>
          <w:rFonts w:ascii="Arial" w:eastAsia="Arial" w:hAnsi="Arial" w:cs="Arial"/>
          <w:sz w:val="24"/>
          <w:szCs w:val="24"/>
        </w:rPr>
      </w:pPr>
    </w:p>
    <w:p w14:paraId="2C141F3D" w14:textId="57DC4C94" w:rsidR="00D303EF" w:rsidRPr="00D303EF" w:rsidRDefault="00D303EF" w:rsidP="00D303EF">
      <w:pPr>
        <w:spacing w:after="80"/>
        <w:ind w:right="222"/>
        <w:rPr>
          <w:rFonts w:ascii="Arial" w:hAnsi="Arial" w:cs="Arial"/>
          <w:b/>
          <w:bCs/>
          <w:color w:val="000000"/>
          <w:sz w:val="24"/>
          <w:szCs w:val="24"/>
          <w:lang w:val="es-CO"/>
        </w:rPr>
      </w:pPr>
      <w:r w:rsidRPr="00D303EF">
        <w:rPr>
          <w:rFonts w:ascii="Arial" w:hAnsi="Arial" w:cs="Arial"/>
          <w:b/>
          <w:bCs/>
          <w:color w:val="000000"/>
          <w:sz w:val="24"/>
          <w:szCs w:val="24"/>
          <w:lang w:val="es-CO"/>
        </w:rPr>
        <w:t>RESPONSABLES DEL INFORME</w:t>
      </w:r>
    </w:p>
    <w:p w14:paraId="1AFF2055" w14:textId="77777777" w:rsidR="00D303EF" w:rsidRPr="00D303EF" w:rsidRDefault="00D303EF" w:rsidP="00D303EF">
      <w:pPr>
        <w:numPr>
          <w:ilvl w:val="0"/>
          <w:numId w:val="7"/>
        </w:numPr>
        <w:spacing w:after="80"/>
        <w:ind w:right="222"/>
        <w:rPr>
          <w:rFonts w:ascii="Arial" w:hAnsi="Arial" w:cs="Arial"/>
          <w:color w:val="000000"/>
          <w:sz w:val="24"/>
          <w:szCs w:val="24"/>
          <w:lang w:val="es-CO"/>
        </w:rPr>
      </w:pPr>
      <w:r w:rsidRPr="00D303EF">
        <w:rPr>
          <w:rFonts w:ascii="Arial" w:hAnsi="Arial" w:cs="Arial"/>
          <w:color w:val="000000"/>
          <w:sz w:val="24"/>
          <w:szCs w:val="24"/>
          <w:lang w:val="es-CO"/>
        </w:rPr>
        <w:t>Jhon Bayron Bedoya Sandoval</w:t>
      </w:r>
      <w:r w:rsidRPr="00D303EF">
        <w:rPr>
          <w:rFonts w:ascii="Arial" w:hAnsi="Arial" w:cs="Arial"/>
          <w:color w:val="000000"/>
          <w:sz w:val="24"/>
          <w:szCs w:val="24"/>
          <w:lang w:val="es-CO"/>
        </w:rPr>
        <w:br/>
        <w:t xml:space="preserve">Historiador </w:t>
      </w:r>
    </w:p>
    <w:p w14:paraId="2A4F3D8C" w14:textId="2CB3C37A" w:rsidR="00D303EF" w:rsidRPr="00D303EF" w:rsidRDefault="00D303EF" w:rsidP="00D303EF">
      <w:pPr>
        <w:spacing w:after="80"/>
        <w:ind w:right="222"/>
        <w:rPr>
          <w:rFonts w:ascii="Arial" w:hAnsi="Arial" w:cs="Arial"/>
          <w:b/>
          <w:color w:val="000000"/>
          <w:sz w:val="24"/>
          <w:szCs w:val="24"/>
          <w:lang w:val="es-CO"/>
        </w:rPr>
      </w:pPr>
    </w:p>
    <w:p w14:paraId="3CF8E832" w14:textId="6FB86216" w:rsidR="00D303EF" w:rsidRPr="00D303EF" w:rsidRDefault="00D303EF" w:rsidP="00D303EF">
      <w:pPr>
        <w:spacing w:after="80"/>
        <w:ind w:right="222"/>
        <w:rPr>
          <w:rFonts w:ascii="Arial" w:hAnsi="Arial" w:cs="Arial"/>
          <w:b/>
          <w:bCs/>
          <w:color w:val="000000"/>
          <w:sz w:val="24"/>
          <w:szCs w:val="24"/>
          <w:lang w:val="es-CO"/>
        </w:rPr>
      </w:pPr>
      <w:r w:rsidRPr="00D303EF">
        <w:rPr>
          <w:rFonts w:ascii="Arial" w:hAnsi="Arial" w:cs="Arial"/>
          <w:b/>
          <w:bCs/>
          <w:color w:val="000000"/>
          <w:sz w:val="24"/>
          <w:szCs w:val="24"/>
          <w:lang w:val="es-CO"/>
        </w:rPr>
        <w:t>DATOS DE LA ENTIDAD EVALUADA</w:t>
      </w:r>
    </w:p>
    <w:p w14:paraId="33F092D1" w14:textId="3FCA63E8" w:rsidR="00D303EF" w:rsidRPr="00D303EF" w:rsidRDefault="00D303EF" w:rsidP="00D303EF">
      <w:pPr>
        <w:spacing w:after="80"/>
        <w:ind w:right="222"/>
        <w:rPr>
          <w:rFonts w:ascii="Arial" w:hAnsi="Arial" w:cs="Arial"/>
          <w:color w:val="000000"/>
          <w:sz w:val="24"/>
          <w:szCs w:val="24"/>
          <w:lang w:val="es-CO"/>
        </w:rPr>
      </w:pPr>
      <w:r w:rsidRPr="00D303EF">
        <w:rPr>
          <w:rFonts w:ascii="Arial" w:hAnsi="Arial" w:cs="Arial"/>
          <w:b/>
          <w:bCs/>
          <w:color w:val="000000"/>
          <w:sz w:val="24"/>
          <w:szCs w:val="24"/>
          <w:lang w:val="es-CO"/>
        </w:rPr>
        <w:t>Entidad:</w:t>
      </w:r>
      <w:r w:rsidRPr="00D303EF">
        <w:rPr>
          <w:rFonts w:ascii="Arial" w:hAnsi="Arial" w:cs="Arial"/>
          <w:color w:val="000000"/>
          <w:sz w:val="24"/>
          <w:szCs w:val="24"/>
          <w:lang w:val="es-CO"/>
        </w:rPr>
        <w:t xml:space="preserve"> </w:t>
      </w:r>
      <w:r w:rsidR="006639EA" w:rsidRPr="006639EA">
        <w:rPr>
          <w:rFonts w:ascii="Arial" w:hAnsi="Arial" w:cs="Arial"/>
          <w:bCs/>
          <w:color w:val="000000"/>
          <w:sz w:val="24"/>
          <w:szCs w:val="24"/>
          <w:lang w:val="es-CO"/>
        </w:rPr>
        <w:t>Concejo de Cachipay</w:t>
      </w:r>
      <w:r w:rsidR="001A6555" w:rsidRPr="006639EA">
        <w:rPr>
          <w:rFonts w:ascii="Arial" w:hAnsi="Arial" w:cs="Arial"/>
          <w:bCs/>
          <w:color w:val="000000"/>
          <w:sz w:val="24"/>
          <w:szCs w:val="24"/>
          <w:lang w:val="es-CO"/>
        </w:rPr>
        <w:t xml:space="preserve"> </w:t>
      </w:r>
      <w:r w:rsidRPr="006639EA">
        <w:rPr>
          <w:rFonts w:ascii="Arial" w:hAnsi="Arial" w:cs="Arial"/>
          <w:bCs/>
          <w:color w:val="000000"/>
          <w:sz w:val="24"/>
          <w:szCs w:val="24"/>
          <w:lang w:val="es-CO"/>
        </w:rPr>
        <w:t xml:space="preserve"> </w:t>
      </w:r>
    </w:p>
    <w:p w14:paraId="2F3D2ECC" w14:textId="6B44437D" w:rsidR="00D303EF" w:rsidRPr="00D303EF" w:rsidRDefault="00D303EF" w:rsidP="00D303EF">
      <w:pPr>
        <w:spacing w:after="80"/>
        <w:ind w:right="222"/>
        <w:rPr>
          <w:rFonts w:ascii="Arial" w:hAnsi="Arial" w:cs="Arial"/>
          <w:color w:val="000000"/>
          <w:sz w:val="24"/>
          <w:szCs w:val="24"/>
          <w:lang w:val="es-CO"/>
        </w:rPr>
      </w:pPr>
      <w:r w:rsidRPr="00D303EF">
        <w:rPr>
          <w:rFonts w:ascii="Arial" w:hAnsi="Arial" w:cs="Arial"/>
          <w:b/>
          <w:bCs/>
          <w:color w:val="000000"/>
          <w:sz w:val="24"/>
          <w:szCs w:val="24"/>
          <w:lang w:val="es-CO"/>
        </w:rPr>
        <w:t xml:space="preserve">Dirección: </w:t>
      </w:r>
      <w:r w:rsidR="006639EA" w:rsidRPr="006639EA">
        <w:rPr>
          <w:rFonts w:ascii="Arial" w:hAnsi="Arial" w:cs="Arial"/>
          <w:bCs/>
          <w:color w:val="000000"/>
          <w:sz w:val="24"/>
          <w:szCs w:val="24"/>
          <w:lang w:val="es-CO"/>
        </w:rPr>
        <w:t>Carrera 4 Calle 5 Esquina 3 Piso</w:t>
      </w:r>
    </w:p>
    <w:p w14:paraId="59391DE7" w14:textId="52360EAE" w:rsidR="00D303EF" w:rsidRPr="00D303EF" w:rsidRDefault="00D303EF" w:rsidP="00D303EF">
      <w:pPr>
        <w:spacing w:after="80"/>
        <w:ind w:right="222"/>
        <w:rPr>
          <w:rFonts w:ascii="Arial" w:hAnsi="Arial" w:cs="Arial"/>
          <w:color w:val="000000"/>
          <w:sz w:val="24"/>
          <w:szCs w:val="24"/>
          <w:lang w:val="es-CO"/>
        </w:rPr>
      </w:pPr>
      <w:r w:rsidRPr="00D303EF">
        <w:rPr>
          <w:rFonts w:ascii="Arial" w:hAnsi="Arial" w:cs="Arial"/>
          <w:b/>
          <w:bCs/>
          <w:color w:val="000000"/>
          <w:sz w:val="24"/>
          <w:szCs w:val="24"/>
          <w:lang w:val="es-CO"/>
        </w:rPr>
        <w:t>Teléfono:</w:t>
      </w:r>
      <w:r w:rsidR="001A6555">
        <w:rPr>
          <w:rFonts w:ascii="Arial" w:hAnsi="Arial" w:cs="Arial"/>
          <w:color w:val="000000"/>
          <w:sz w:val="24"/>
          <w:szCs w:val="24"/>
          <w:lang w:val="es-CO"/>
        </w:rPr>
        <w:t xml:space="preserve"> </w:t>
      </w:r>
      <w:r w:rsidR="006639EA" w:rsidRPr="006639EA">
        <w:rPr>
          <w:rFonts w:ascii="Arial" w:hAnsi="Arial" w:cs="Arial"/>
          <w:bCs/>
          <w:color w:val="000000"/>
          <w:sz w:val="24"/>
          <w:szCs w:val="24"/>
          <w:lang w:val="es-CO"/>
        </w:rPr>
        <w:t>317 316281</w:t>
      </w:r>
      <w:r w:rsidR="006639EA">
        <w:rPr>
          <w:rFonts w:ascii="Arial" w:hAnsi="Arial" w:cs="Arial"/>
          <w:bCs/>
          <w:color w:val="000000"/>
          <w:sz w:val="24"/>
          <w:szCs w:val="24"/>
          <w:lang w:val="es-CO"/>
        </w:rPr>
        <w:t>5</w:t>
      </w:r>
    </w:p>
    <w:p w14:paraId="7F3CFFEE" w14:textId="03A4EB6E" w:rsidR="00D303EF" w:rsidRPr="006639EA" w:rsidRDefault="00D303EF" w:rsidP="006639EA">
      <w:pPr>
        <w:rPr>
          <w:sz w:val="24"/>
          <w:szCs w:val="24"/>
        </w:rPr>
      </w:pPr>
      <w:r w:rsidRPr="00D303EF">
        <w:rPr>
          <w:rFonts w:ascii="Arial" w:hAnsi="Arial" w:cs="Arial"/>
          <w:b/>
          <w:bCs/>
          <w:color w:val="000000"/>
          <w:sz w:val="24"/>
          <w:szCs w:val="24"/>
          <w:lang w:val="es-CO"/>
        </w:rPr>
        <w:t xml:space="preserve">Correo electrónico: </w:t>
      </w:r>
      <w:r w:rsidR="006639EA" w:rsidRPr="006639EA">
        <w:rPr>
          <w:rFonts w:ascii="Arial" w:hAnsi="Arial" w:cs="Arial"/>
          <w:bCs/>
          <w:color w:val="000000"/>
          <w:sz w:val="24"/>
          <w:szCs w:val="24"/>
          <w:lang w:val="es-CO"/>
        </w:rPr>
        <w:t>concejo@cachipay-cundinamarca.gov.co</w:t>
      </w:r>
    </w:p>
    <w:p w14:paraId="62334592" w14:textId="4195D907" w:rsidR="00D303EF" w:rsidRPr="00D303EF" w:rsidRDefault="00D303EF" w:rsidP="00D303EF">
      <w:pPr>
        <w:spacing w:after="80"/>
        <w:ind w:right="222"/>
        <w:rPr>
          <w:rFonts w:ascii="Arial" w:hAnsi="Arial" w:cs="Arial"/>
          <w:b/>
          <w:color w:val="000000"/>
          <w:sz w:val="24"/>
          <w:szCs w:val="24"/>
          <w:lang w:val="es-CO"/>
        </w:rPr>
      </w:pPr>
    </w:p>
    <w:p w14:paraId="6400D278" w14:textId="3168A1F9" w:rsidR="00D303EF" w:rsidRPr="00D303EF" w:rsidRDefault="00D303EF" w:rsidP="00D303EF">
      <w:pPr>
        <w:spacing w:after="80"/>
        <w:ind w:right="222"/>
        <w:rPr>
          <w:rFonts w:ascii="Arial" w:hAnsi="Arial" w:cs="Arial"/>
          <w:b/>
          <w:bCs/>
          <w:color w:val="000000"/>
          <w:sz w:val="24"/>
          <w:szCs w:val="24"/>
          <w:lang w:val="es-CO"/>
        </w:rPr>
      </w:pPr>
      <w:r w:rsidRPr="00D303EF">
        <w:rPr>
          <w:rFonts w:ascii="Arial" w:hAnsi="Arial" w:cs="Arial"/>
          <w:b/>
          <w:bCs/>
          <w:color w:val="000000"/>
          <w:sz w:val="24"/>
          <w:szCs w:val="24"/>
          <w:lang w:val="es-CO"/>
        </w:rPr>
        <w:t>FECHA DE EMISIÓN DEL INFORME</w:t>
      </w:r>
    </w:p>
    <w:p w14:paraId="0E973D08" w14:textId="446B8D72" w:rsidR="00D303EF" w:rsidRPr="00D303EF" w:rsidRDefault="006639EA" w:rsidP="00D303EF">
      <w:pPr>
        <w:spacing w:after="80"/>
        <w:ind w:right="222"/>
        <w:rPr>
          <w:rFonts w:ascii="Arial" w:hAnsi="Arial" w:cs="Arial"/>
          <w:bCs/>
          <w:color w:val="000000"/>
          <w:sz w:val="24"/>
          <w:szCs w:val="24"/>
          <w:lang w:val="es-CO"/>
        </w:rPr>
      </w:pPr>
      <w:r>
        <w:rPr>
          <w:rFonts w:ascii="Arial" w:hAnsi="Arial" w:cs="Arial"/>
          <w:bCs/>
          <w:color w:val="000000"/>
          <w:sz w:val="24"/>
          <w:szCs w:val="24"/>
          <w:lang w:val="es-CO"/>
        </w:rPr>
        <w:t>15</w:t>
      </w:r>
      <w:r w:rsidR="00D303EF" w:rsidRPr="00D303EF">
        <w:rPr>
          <w:rFonts w:ascii="Arial" w:hAnsi="Arial" w:cs="Arial"/>
          <w:bCs/>
          <w:color w:val="000000"/>
          <w:sz w:val="24"/>
          <w:szCs w:val="24"/>
          <w:lang w:val="es-CO"/>
        </w:rPr>
        <w:t xml:space="preserve"> de </w:t>
      </w:r>
      <w:r w:rsidR="001A6555">
        <w:rPr>
          <w:rFonts w:ascii="Arial" w:hAnsi="Arial" w:cs="Arial"/>
          <w:bCs/>
          <w:color w:val="000000"/>
          <w:sz w:val="24"/>
          <w:szCs w:val="24"/>
          <w:lang w:val="es-CO"/>
        </w:rPr>
        <w:t>abril</w:t>
      </w:r>
      <w:r w:rsidR="00D303EF" w:rsidRPr="00D303EF">
        <w:rPr>
          <w:rFonts w:ascii="Arial" w:hAnsi="Arial" w:cs="Arial"/>
          <w:bCs/>
          <w:color w:val="000000"/>
          <w:sz w:val="24"/>
          <w:szCs w:val="24"/>
          <w:lang w:val="es-CO"/>
        </w:rPr>
        <w:t xml:space="preserve"> de 202</w:t>
      </w:r>
      <w:r w:rsidR="006523B4">
        <w:rPr>
          <w:rFonts w:ascii="Arial" w:hAnsi="Arial" w:cs="Arial"/>
          <w:bCs/>
          <w:color w:val="000000"/>
          <w:sz w:val="24"/>
          <w:szCs w:val="24"/>
          <w:lang w:val="es-CO"/>
        </w:rPr>
        <w:t>6</w:t>
      </w:r>
    </w:p>
    <w:p w14:paraId="2CC775C1" w14:textId="77777777" w:rsidR="00D303EF" w:rsidRDefault="00D303EF" w:rsidP="00D13ECC">
      <w:pPr>
        <w:spacing w:after="80"/>
        <w:ind w:right="222"/>
        <w:rPr>
          <w:rFonts w:ascii="Arial" w:hAnsi="Arial" w:cs="Arial"/>
          <w:b/>
          <w:color w:val="000000"/>
          <w:sz w:val="24"/>
          <w:szCs w:val="24"/>
        </w:rPr>
      </w:pPr>
    </w:p>
    <w:p w14:paraId="7892B193" w14:textId="77777777" w:rsidR="007F11E4" w:rsidRDefault="007F11E4" w:rsidP="00D13ECC">
      <w:pPr>
        <w:spacing w:after="80"/>
        <w:ind w:right="222"/>
        <w:rPr>
          <w:rFonts w:ascii="Arial" w:hAnsi="Arial" w:cs="Arial"/>
          <w:b/>
          <w:color w:val="000000"/>
          <w:sz w:val="24"/>
          <w:szCs w:val="24"/>
        </w:rPr>
      </w:pPr>
    </w:p>
    <w:p w14:paraId="31234BA9" w14:textId="77777777" w:rsidR="007F11E4" w:rsidRDefault="007F11E4" w:rsidP="00D13ECC">
      <w:pPr>
        <w:spacing w:after="80"/>
        <w:ind w:right="222"/>
        <w:rPr>
          <w:rFonts w:ascii="Arial" w:hAnsi="Arial" w:cs="Arial"/>
          <w:b/>
          <w:color w:val="000000"/>
          <w:sz w:val="24"/>
          <w:szCs w:val="24"/>
        </w:rPr>
      </w:pPr>
    </w:p>
    <w:p w14:paraId="37F10B6A" w14:textId="77777777" w:rsidR="007F11E4" w:rsidRDefault="007F11E4" w:rsidP="00D13ECC">
      <w:pPr>
        <w:spacing w:after="80"/>
        <w:ind w:right="222"/>
        <w:rPr>
          <w:rFonts w:ascii="Arial" w:hAnsi="Arial" w:cs="Arial"/>
          <w:b/>
          <w:color w:val="000000"/>
          <w:sz w:val="24"/>
          <w:szCs w:val="24"/>
        </w:rPr>
      </w:pPr>
    </w:p>
    <w:p w14:paraId="4C12D6B0" w14:textId="77777777" w:rsidR="007F11E4" w:rsidRDefault="007F11E4" w:rsidP="00D13ECC">
      <w:pPr>
        <w:spacing w:after="80"/>
        <w:ind w:right="222"/>
        <w:rPr>
          <w:rFonts w:ascii="Arial" w:hAnsi="Arial" w:cs="Arial"/>
          <w:b/>
          <w:color w:val="000000"/>
          <w:sz w:val="24"/>
          <w:szCs w:val="24"/>
        </w:rPr>
      </w:pPr>
    </w:p>
    <w:p w14:paraId="22563382" w14:textId="77777777" w:rsidR="001A6555" w:rsidRDefault="001A6555" w:rsidP="00D13ECC">
      <w:pPr>
        <w:spacing w:after="80"/>
        <w:ind w:right="222"/>
        <w:rPr>
          <w:rFonts w:ascii="Arial" w:hAnsi="Arial" w:cs="Arial"/>
          <w:b/>
          <w:color w:val="000000"/>
          <w:sz w:val="24"/>
          <w:szCs w:val="24"/>
        </w:rPr>
      </w:pPr>
    </w:p>
    <w:p w14:paraId="67BBB59D" w14:textId="77777777" w:rsidR="001A6555" w:rsidRDefault="001A6555" w:rsidP="00D13ECC">
      <w:pPr>
        <w:spacing w:after="80"/>
        <w:ind w:right="222"/>
        <w:rPr>
          <w:rFonts w:ascii="Arial" w:hAnsi="Arial" w:cs="Arial"/>
          <w:b/>
          <w:color w:val="000000"/>
          <w:sz w:val="24"/>
          <w:szCs w:val="24"/>
        </w:rPr>
      </w:pPr>
    </w:p>
    <w:p w14:paraId="740B4D7A" w14:textId="77777777" w:rsidR="001A6555" w:rsidRDefault="001A6555" w:rsidP="00D13ECC">
      <w:pPr>
        <w:spacing w:after="80"/>
        <w:ind w:right="222"/>
        <w:rPr>
          <w:rFonts w:ascii="Arial" w:hAnsi="Arial" w:cs="Arial"/>
          <w:b/>
          <w:color w:val="000000"/>
          <w:sz w:val="24"/>
          <w:szCs w:val="24"/>
        </w:rPr>
      </w:pPr>
    </w:p>
    <w:p w14:paraId="06478879" w14:textId="7174EC58" w:rsidR="00537188" w:rsidRPr="00D303EF" w:rsidRDefault="00537188" w:rsidP="00537188">
      <w:pPr>
        <w:spacing w:after="240"/>
        <w:rPr>
          <w:rFonts w:ascii="Arial" w:hAnsi="Arial" w:cs="Arial"/>
          <w:b/>
          <w:color w:val="000000"/>
          <w:sz w:val="24"/>
          <w:szCs w:val="24"/>
        </w:rPr>
      </w:pPr>
      <w:r w:rsidRPr="00D303EF">
        <w:rPr>
          <w:rFonts w:ascii="Arial" w:hAnsi="Arial" w:cs="Arial"/>
          <w:b/>
          <w:color w:val="000000"/>
          <w:sz w:val="24"/>
          <w:szCs w:val="24"/>
        </w:rPr>
        <w:lastRenderedPageBreak/>
        <w:t xml:space="preserve">ANTECEDENTES </w:t>
      </w:r>
    </w:p>
    <w:p w14:paraId="49B36BDA" w14:textId="097DB439" w:rsidR="00AA0D88" w:rsidRPr="00D303EF" w:rsidRDefault="007D6377" w:rsidP="007D6377">
      <w:pPr>
        <w:spacing w:before="240" w:after="240"/>
        <w:jc w:val="both"/>
        <w:rPr>
          <w:rFonts w:ascii="Arial" w:hAnsi="Arial" w:cs="Arial"/>
          <w:color w:val="000000"/>
          <w:sz w:val="24"/>
          <w:szCs w:val="24"/>
        </w:rPr>
      </w:pPr>
      <w:r w:rsidRPr="00D303EF">
        <w:rPr>
          <w:rFonts w:ascii="Arial" w:hAnsi="Arial" w:cs="Arial"/>
          <w:color w:val="000000"/>
          <w:sz w:val="24"/>
          <w:szCs w:val="24"/>
        </w:rPr>
        <w:t>Con el objetivo de evidenciar la trazabilidad del proceso de evaluación y convalidación de la Tabla de Retención Documental (TRD) de</w:t>
      </w:r>
      <w:r w:rsidR="006639EA">
        <w:rPr>
          <w:rFonts w:ascii="Arial" w:hAnsi="Arial" w:cs="Arial"/>
          <w:color w:val="000000"/>
          <w:sz w:val="24"/>
          <w:szCs w:val="24"/>
        </w:rPr>
        <w:t>l</w:t>
      </w:r>
      <w:r w:rsidRPr="00D303EF">
        <w:rPr>
          <w:rFonts w:ascii="Arial" w:hAnsi="Arial" w:cs="Arial"/>
          <w:color w:val="000000"/>
          <w:sz w:val="24"/>
          <w:szCs w:val="24"/>
        </w:rPr>
        <w:t xml:space="preserve"> “</w:t>
      </w:r>
      <w:r w:rsidR="006639EA">
        <w:rPr>
          <w:rFonts w:ascii="Arial" w:hAnsi="Arial" w:cs="Arial"/>
          <w:color w:val="000000"/>
          <w:sz w:val="24"/>
          <w:szCs w:val="24"/>
        </w:rPr>
        <w:t>Concejo de Cachipay</w:t>
      </w:r>
      <w:r w:rsidRPr="00D303EF">
        <w:rPr>
          <w:rFonts w:ascii="Arial" w:hAnsi="Arial" w:cs="Arial"/>
          <w:color w:val="000000"/>
          <w:sz w:val="24"/>
          <w:szCs w:val="24"/>
        </w:rPr>
        <w:t xml:space="preserve">”, se presenta a continuación el historial de radicados tramitados a través del sistema </w:t>
      </w:r>
      <w:r w:rsidR="005F71F8">
        <w:rPr>
          <w:rFonts w:ascii="Arial" w:hAnsi="Arial" w:cs="Arial"/>
          <w:color w:val="000000"/>
          <w:sz w:val="24"/>
          <w:szCs w:val="24"/>
        </w:rPr>
        <w:t>Cóndor</w:t>
      </w:r>
      <w:r w:rsidRPr="00D303EF">
        <w:rPr>
          <w:rFonts w:ascii="Arial" w:hAnsi="Arial" w:cs="Arial"/>
          <w:color w:val="000000"/>
          <w:sz w:val="24"/>
          <w:szCs w:val="24"/>
        </w:rPr>
        <w:t xml:space="preserve"> ante el Consejo Departamental de Archivo</w:t>
      </w:r>
      <w:r w:rsidR="00AA0D88">
        <w:rPr>
          <w:rFonts w:ascii="Arial" w:hAnsi="Arial" w:cs="Arial"/>
          <w:color w:val="000000"/>
          <w:sz w:val="24"/>
          <w:szCs w:val="24"/>
        </w:rPr>
        <w:t>s</w:t>
      </w:r>
      <w:r w:rsidRPr="00D303EF">
        <w:rPr>
          <w:rFonts w:ascii="Arial" w:hAnsi="Arial" w:cs="Arial"/>
          <w:color w:val="000000"/>
          <w:sz w:val="24"/>
          <w:szCs w:val="24"/>
        </w:rPr>
        <w:t xml:space="preserve"> de Cundinamarca:</w:t>
      </w:r>
    </w:p>
    <w:tbl>
      <w:tblPr>
        <w:tblW w:w="8820" w:type="dxa"/>
        <w:tblBorders>
          <w:top w:val="nil"/>
          <w:left w:val="nil"/>
          <w:bottom w:val="nil"/>
          <w:right w:val="nil"/>
          <w:insideH w:val="nil"/>
          <w:insideV w:val="nil"/>
        </w:tblBorders>
        <w:tblLayout w:type="fixed"/>
        <w:tblLook w:val="0600" w:firstRow="0" w:lastRow="0" w:firstColumn="0" w:lastColumn="0" w:noHBand="1" w:noVBand="1"/>
      </w:tblPr>
      <w:tblGrid>
        <w:gridCol w:w="1935"/>
        <w:gridCol w:w="1590"/>
        <w:gridCol w:w="2025"/>
        <w:gridCol w:w="3270"/>
      </w:tblGrid>
      <w:tr w:rsidR="00537188" w:rsidRPr="00D303EF" w14:paraId="6BF689C2" w14:textId="77777777" w:rsidTr="00CD29AD">
        <w:trPr>
          <w:trHeight w:val="465"/>
        </w:trPr>
        <w:tc>
          <w:tcPr>
            <w:tcW w:w="19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ED124CE" w14:textId="77777777" w:rsidR="00537188" w:rsidRPr="00D303EF" w:rsidRDefault="00537188" w:rsidP="00CD29AD">
            <w:pPr>
              <w:spacing w:before="240" w:after="160" w:line="256" w:lineRule="auto"/>
              <w:jc w:val="center"/>
              <w:rPr>
                <w:rFonts w:ascii="Arial" w:hAnsi="Arial" w:cs="Arial"/>
                <w:b/>
                <w:sz w:val="24"/>
                <w:szCs w:val="24"/>
                <w:highlight w:val="white"/>
              </w:rPr>
            </w:pPr>
            <w:r w:rsidRPr="00D303EF">
              <w:rPr>
                <w:rFonts w:ascii="Arial" w:hAnsi="Arial" w:cs="Arial"/>
                <w:b/>
                <w:sz w:val="24"/>
                <w:szCs w:val="24"/>
                <w:highlight w:val="white"/>
              </w:rPr>
              <w:t>Fecha</w:t>
            </w:r>
          </w:p>
        </w:tc>
        <w:tc>
          <w:tcPr>
            <w:tcW w:w="159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087DABB6" w14:textId="77777777" w:rsidR="00537188" w:rsidRPr="00D303EF" w:rsidRDefault="00537188" w:rsidP="00CD29AD">
            <w:pPr>
              <w:spacing w:before="240" w:after="160" w:line="256" w:lineRule="auto"/>
              <w:jc w:val="center"/>
              <w:rPr>
                <w:rFonts w:ascii="Arial" w:hAnsi="Arial" w:cs="Arial"/>
                <w:b/>
                <w:sz w:val="24"/>
                <w:szCs w:val="24"/>
                <w:highlight w:val="white"/>
              </w:rPr>
            </w:pPr>
            <w:r w:rsidRPr="00D303EF">
              <w:rPr>
                <w:rFonts w:ascii="Arial" w:hAnsi="Arial" w:cs="Arial"/>
                <w:b/>
                <w:sz w:val="24"/>
                <w:szCs w:val="24"/>
                <w:highlight w:val="white"/>
              </w:rPr>
              <w:t>Radicado</w:t>
            </w:r>
          </w:p>
        </w:tc>
        <w:tc>
          <w:tcPr>
            <w:tcW w:w="202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5831136C" w14:textId="77777777" w:rsidR="00537188" w:rsidRPr="00D303EF" w:rsidRDefault="00537188" w:rsidP="00CD29AD">
            <w:pPr>
              <w:spacing w:before="240" w:after="160" w:line="256" w:lineRule="auto"/>
              <w:jc w:val="center"/>
              <w:rPr>
                <w:rFonts w:ascii="Arial" w:hAnsi="Arial" w:cs="Arial"/>
                <w:b/>
                <w:sz w:val="24"/>
                <w:szCs w:val="24"/>
                <w:highlight w:val="white"/>
              </w:rPr>
            </w:pPr>
            <w:r w:rsidRPr="00D303EF">
              <w:rPr>
                <w:rFonts w:ascii="Arial" w:hAnsi="Arial" w:cs="Arial"/>
                <w:b/>
                <w:sz w:val="24"/>
                <w:szCs w:val="24"/>
                <w:highlight w:val="white"/>
              </w:rPr>
              <w:t>Entidad</w:t>
            </w:r>
          </w:p>
        </w:tc>
        <w:tc>
          <w:tcPr>
            <w:tcW w:w="327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6DC2F9D0" w14:textId="77777777" w:rsidR="00537188" w:rsidRPr="00D303EF" w:rsidRDefault="00537188" w:rsidP="00CD29AD">
            <w:pPr>
              <w:spacing w:before="240" w:after="160" w:line="256" w:lineRule="auto"/>
              <w:jc w:val="both"/>
              <w:rPr>
                <w:rFonts w:ascii="Arial" w:hAnsi="Arial" w:cs="Arial"/>
                <w:b/>
                <w:sz w:val="24"/>
                <w:szCs w:val="24"/>
                <w:highlight w:val="white"/>
              </w:rPr>
            </w:pPr>
            <w:r w:rsidRPr="00D303EF">
              <w:rPr>
                <w:rFonts w:ascii="Arial" w:hAnsi="Arial" w:cs="Arial"/>
                <w:b/>
                <w:sz w:val="24"/>
                <w:szCs w:val="24"/>
                <w:highlight w:val="white"/>
              </w:rPr>
              <w:t>Descripción del trámite</w:t>
            </w:r>
          </w:p>
        </w:tc>
      </w:tr>
      <w:tr w:rsidR="00537188" w:rsidRPr="00D303EF" w14:paraId="1802AED2" w14:textId="77777777" w:rsidTr="006627C3">
        <w:trPr>
          <w:trHeight w:val="1835"/>
        </w:trPr>
        <w:tc>
          <w:tcPr>
            <w:tcW w:w="193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6F47E68" w14:textId="5994A9BD" w:rsidR="00537188" w:rsidRPr="00D303EF" w:rsidRDefault="00537188" w:rsidP="00AA0D88">
            <w:pPr>
              <w:spacing w:before="240" w:after="160" w:line="256" w:lineRule="auto"/>
              <w:jc w:val="center"/>
              <w:rPr>
                <w:rFonts w:ascii="Arial" w:hAnsi="Arial" w:cs="Arial"/>
                <w:sz w:val="24"/>
                <w:szCs w:val="24"/>
                <w:highlight w:val="white"/>
              </w:rPr>
            </w:pPr>
          </w:p>
        </w:tc>
        <w:tc>
          <w:tcPr>
            <w:tcW w:w="1590" w:type="dxa"/>
            <w:tcBorders>
              <w:top w:val="nil"/>
              <w:left w:val="nil"/>
              <w:bottom w:val="single" w:sz="5" w:space="0" w:color="000000"/>
              <w:right w:val="single" w:sz="5" w:space="0" w:color="000000"/>
            </w:tcBorders>
            <w:tcMar>
              <w:top w:w="0" w:type="dxa"/>
              <w:left w:w="100" w:type="dxa"/>
              <w:bottom w:w="0" w:type="dxa"/>
              <w:right w:w="100" w:type="dxa"/>
            </w:tcMar>
          </w:tcPr>
          <w:p w14:paraId="55436E31" w14:textId="43D584C4" w:rsidR="00537188" w:rsidRPr="00D303EF" w:rsidRDefault="00537188" w:rsidP="00AA0D88">
            <w:pPr>
              <w:spacing w:before="240" w:after="160" w:line="256" w:lineRule="auto"/>
              <w:jc w:val="center"/>
              <w:rPr>
                <w:rFonts w:ascii="Arial" w:hAnsi="Arial" w:cs="Arial"/>
                <w:sz w:val="24"/>
                <w:szCs w:val="24"/>
                <w:highlight w:val="white"/>
              </w:rPr>
            </w:pPr>
          </w:p>
        </w:tc>
        <w:tc>
          <w:tcPr>
            <w:tcW w:w="2025" w:type="dxa"/>
            <w:tcBorders>
              <w:top w:val="nil"/>
              <w:left w:val="nil"/>
              <w:bottom w:val="single" w:sz="5" w:space="0" w:color="000000"/>
              <w:right w:val="single" w:sz="5" w:space="0" w:color="000000"/>
            </w:tcBorders>
            <w:tcMar>
              <w:top w:w="0" w:type="dxa"/>
              <w:left w:w="100" w:type="dxa"/>
              <w:bottom w:w="0" w:type="dxa"/>
              <w:right w:w="100" w:type="dxa"/>
            </w:tcMar>
          </w:tcPr>
          <w:p w14:paraId="3F66B38A" w14:textId="71532D44" w:rsidR="00537188" w:rsidRPr="00D303EF" w:rsidRDefault="00537188" w:rsidP="00AA0D88">
            <w:pPr>
              <w:spacing w:before="240" w:after="160" w:line="256" w:lineRule="auto"/>
              <w:jc w:val="center"/>
              <w:rPr>
                <w:rFonts w:ascii="Arial" w:hAnsi="Arial" w:cs="Arial"/>
                <w:sz w:val="24"/>
                <w:szCs w:val="24"/>
                <w:highlight w:val="white"/>
              </w:rPr>
            </w:pPr>
          </w:p>
        </w:tc>
        <w:tc>
          <w:tcPr>
            <w:tcW w:w="3270" w:type="dxa"/>
            <w:tcBorders>
              <w:top w:val="nil"/>
              <w:left w:val="nil"/>
              <w:bottom w:val="single" w:sz="5" w:space="0" w:color="000000"/>
              <w:right w:val="single" w:sz="5" w:space="0" w:color="000000"/>
            </w:tcBorders>
            <w:tcMar>
              <w:top w:w="0" w:type="dxa"/>
              <w:left w:w="100" w:type="dxa"/>
              <w:bottom w:w="0" w:type="dxa"/>
              <w:right w:w="100" w:type="dxa"/>
            </w:tcMar>
          </w:tcPr>
          <w:p w14:paraId="5DEF115E" w14:textId="77777777" w:rsidR="00537188" w:rsidRDefault="00537188" w:rsidP="00C37D6E">
            <w:pPr>
              <w:jc w:val="both"/>
              <w:rPr>
                <w:rFonts w:ascii="Arial" w:hAnsi="Arial" w:cs="Arial"/>
                <w:sz w:val="24"/>
                <w:szCs w:val="24"/>
                <w:highlight w:val="white"/>
              </w:rPr>
            </w:pPr>
          </w:p>
          <w:p w14:paraId="6202945D" w14:textId="13902F0D" w:rsidR="00AA0D88" w:rsidRPr="00D303EF" w:rsidRDefault="00AA0D88" w:rsidP="001A6555">
            <w:pPr>
              <w:jc w:val="both"/>
              <w:rPr>
                <w:rFonts w:ascii="Arial" w:hAnsi="Arial" w:cs="Arial"/>
                <w:sz w:val="24"/>
                <w:szCs w:val="24"/>
                <w:highlight w:val="white"/>
              </w:rPr>
            </w:pPr>
          </w:p>
        </w:tc>
      </w:tr>
      <w:tr w:rsidR="00537188" w:rsidRPr="00D303EF" w14:paraId="6FFA6877" w14:textId="77777777" w:rsidTr="00CD29AD">
        <w:trPr>
          <w:trHeight w:val="1965"/>
        </w:trPr>
        <w:tc>
          <w:tcPr>
            <w:tcW w:w="193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09E1D10" w14:textId="73B88979" w:rsidR="00537188" w:rsidRPr="00D303EF" w:rsidRDefault="00537188" w:rsidP="00E54106">
            <w:pPr>
              <w:spacing w:before="240" w:after="160" w:line="256" w:lineRule="auto"/>
              <w:jc w:val="center"/>
              <w:rPr>
                <w:rFonts w:ascii="Arial" w:hAnsi="Arial" w:cs="Arial"/>
                <w:sz w:val="24"/>
                <w:szCs w:val="24"/>
                <w:highlight w:val="white"/>
              </w:rPr>
            </w:pPr>
          </w:p>
        </w:tc>
        <w:tc>
          <w:tcPr>
            <w:tcW w:w="1590" w:type="dxa"/>
            <w:tcBorders>
              <w:top w:val="nil"/>
              <w:left w:val="nil"/>
              <w:bottom w:val="single" w:sz="5" w:space="0" w:color="000000"/>
              <w:right w:val="single" w:sz="5" w:space="0" w:color="000000"/>
            </w:tcBorders>
            <w:tcMar>
              <w:top w:w="0" w:type="dxa"/>
              <w:left w:w="100" w:type="dxa"/>
              <w:bottom w:w="0" w:type="dxa"/>
              <w:right w:w="100" w:type="dxa"/>
            </w:tcMar>
          </w:tcPr>
          <w:p w14:paraId="3DB9FECA" w14:textId="78A8830D" w:rsidR="00537188" w:rsidRPr="00D303EF" w:rsidRDefault="00537188" w:rsidP="00E54106">
            <w:pPr>
              <w:spacing w:before="240" w:after="160" w:line="256" w:lineRule="auto"/>
              <w:jc w:val="center"/>
              <w:rPr>
                <w:rFonts w:ascii="Arial" w:hAnsi="Arial" w:cs="Arial"/>
                <w:sz w:val="24"/>
                <w:szCs w:val="24"/>
                <w:highlight w:val="white"/>
              </w:rPr>
            </w:pPr>
          </w:p>
        </w:tc>
        <w:tc>
          <w:tcPr>
            <w:tcW w:w="2025" w:type="dxa"/>
            <w:tcBorders>
              <w:top w:val="nil"/>
              <w:left w:val="nil"/>
              <w:bottom w:val="single" w:sz="5" w:space="0" w:color="000000"/>
              <w:right w:val="single" w:sz="5" w:space="0" w:color="000000"/>
            </w:tcBorders>
            <w:tcMar>
              <w:top w:w="0" w:type="dxa"/>
              <w:left w:w="100" w:type="dxa"/>
              <w:bottom w:w="0" w:type="dxa"/>
              <w:right w:w="100" w:type="dxa"/>
            </w:tcMar>
          </w:tcPr>
          <w:p w14:paraId="237059AF" w14:textId="5B2C68D8" w:rsidR="00537188" w:rsidRPr="00D303EF" w:rsidRDefault="00537188" w:rsidP="00AA0D88">
            <w:pPr>
              <w:spacing w:before="240" w:after="160" w:line="256" w:lineRule="auto"/>
              <w:jc w:val="center"/>
              <w:rPr>
                <w:rFonts w:ascii="Arial" w:hAnsi="Arial" w:cs="Arial"/>
                <w:sz w:val="24"/>
                <w:szCs w:val="24"/>
                <w:highlight w:val="white"/>
              </w:rPr>
            </w:pPr>
          </w:p>
        </w:tc>
        <w:tc>
          <w:tcPr>
            <w:tcW w:w="3270" w:type="dxa"/>
            <w:tcBorders>
              <w:top w:val="nil"/>
              <w:left w:val="nil"/>
              <w:bottom w:val="single" w:sz="5" w:space="0" w:color="000000"/>
              <w:right w:val="single" w:sz="5" w:space="0" w:color="000000"/>
            </w:tcBorders>
            <w:tcMar>
              <w:top w:w="0" w:type="dxa"/>
              <w:left w:w="100" w:type="dxa"/>
              <w:bottom w:w="0" w:type="dxa"/>
              <w:right w:w="100" w:type="dxa"/>
            </w:tcMar>
          </w:tcPr>
          <w:p w14:paraId="6ADE9C5C" w14:textId="77777777" w:rsidR="00AA0D88" w:rsidRDefault="00AA0D88" w:rsidP="00C37D6E">
            <w:pPr>
              <w:jc w:val="both"/>
              <w:rPr>
                <w:rFonts w:ascii="Arial" w:hAnsi="Arial" w:cs="Arial"/>
                <w:sz w:val="24"/>
                <w:szCs w:val="24"/>
                <w:highlight w:val="white"/>
              </w:rPr>
            </w:pPr>
          </w:p>
          <w:p w14:paraId="282D614C" w14:textId="629A794D" w:rsidR="00537188" w:rsidRPr="00D303EF" w:rsidRDefault="00537188" w:rsidP="00C37D6E">
            <w:pPr>
              <w:jc w:val="both"/>
              <w:rPr>
                <w:rFonts w:ascii="Arial" w:hAnsi="Arial" w:cs="Arial"/>
                <w:sz w:val="24"/>
                <w:szCs w:val="24"/>
                <w:highlight w:val="white"/>
              </w:rPr>
            </w:pPr>
          </w:p>
        </w:tc>
      </w:tr>
    </w:tbl>
    <w:p w14:paraId="52301C2F" w14:textId="2F293971" w:rsidR="008A1099" w:rsidRDefault="008A1099" w:rsidP="00537188">
      <w:pPr>
        <w:jc w:val="both"/>
        <w:rPr>
          <w:rFonts w:ascii="Arial" w:hAnsi="Arial" w:cs="Arial"/>
          <w:sz w:val="24"/>
          <w:szCs w:val="24"/>
        </w:rPr>
      </w:pPr>
    </w:p>
    <w:p w14:paraId="5ECCFDDE" w14:textId="21A2E756" w:rsidR="008A1099" w:rsidRPr="001A6555" w:rsidRDefault="008A1099" w:rsidP="008A1099">
      <w:pPr>
        <w:jc w:val="center"/>
        <w:rPr>
          <w:rFonts w:ascii="Arial" w:hAnsi="Arial" w:cs="Arial"/>
          <w:b/>
          <w:bCs/>
          <w:sz w:val="24"/>
          <w:szCs w:val="24"/>
        </w:rPr>
      </w:pPr>
      <w:r w:rsidRPr="001A6555">
        <w:rPr>
          <w:rFonts w:ascii="Arial" w:hAnsi="Arial" w:cs="Arial"/>
          <w:b/>
          <w:bCs/>
          <w:sz w:val="24"/>
          <w:szCs w:val="24"/>
        </w:rPr>
        <w:t>EVALUACIÓN TÉCNICA</w:t>
      </w:r>
    </w:p>
    <w:p w14:paraId="6A7A7C8B" w14:textId="77777777" w:rsidR="00E54106" w:rsidRPr="001A6555" w:rsidRDefault="00E54106" w:rsidP="00537188">
      <w:pPr>
        <w:jc w:val="both"/>
        <w:rPr>
          <w:rFonts w:ascii="Arial" w:hAnsi="Arial" w:cs="Arial"/>
          <w:sz w:val="24"/>
          <w:szCs w:val="24"/>
        </w:rPr>
      </w:pPr>
    </w:p>
    <w:p w14:paraId="2AF50DFA" w14:textId="77777777" w:rsidR="006639EA" w:rsidRPr="006639EA" w:rsidRDefault="006639EA" w:rsidP="006639EA">
      <w:pPr>
        <w:numPr>
          <w:ilvl w:val="0"/>
          <w:numId w:val="6"/>
        </w:numPr>
        <w:ind w:left="360"/>
        <w:jc w:val="both"/>
        <w:rPr>
          <w:rFonts w:ascii="Arial" w:hAnsi="Arial" w:cs="Arial"/>
          <w:b/>
          <w:color w:val="000000"/>
          <w:sz w:val="24"/>
          <w:szCs w:val="24"/>
        </w:rPr>
      </w:pPr>
      <w:r w:rsidRPr="006639EA">
        <w:rPr>
          <w:rFonts w:ascii="Arial" w:hAnsi="Arial" w:cs="Arial"/>
          <w:b/>
          <w:color w:val="000000"/>
          <w:sz w:val="24"/>
          <w:szCs w:val="24"/>
        </w:rPr>
        <w:t>ANEXOS </w:t>
      </w:r>
    </w:p>
    <w:p w14:paraId="1625EDF1" w14:textId="77777777" w:rsidR="006639EA" w:rsidRPr="006639EA" w:rsidRDefault="006639EA" w:rsidP="006639EA">
      <w:pPr>
        <w:rPr>
          <w:rFonts w:ascii="Arial" w:hAnsi="Arial" w:cs="Arial"/>
          <w:sz w:val="24"/>
          <w:szCs w:val="24"/>
        </w:rPr>
      </w:pPr>
    </w:p>
    <w:p w14:paraId="4825E84E" w14:textId="77777777" w:rsidR="006639EA" w:rsidRPr="006639EA" w:rsidRDefault="006639EA" w:rsidP="006639EA">
      <w:pPr>
        <w:pStyle w:val="Prrafodelista"/>
        <w:numPr>
          <w:ilvl w:val="1"/>
          <w:numId w:val="14"/>
        </w:numPr>
        <w:spacing w:after="160"/>
        <w:jc w:val="both"/>
        <w:rPr>
          <w:rFonts w:ascii="Arial" w:hAnsi="Arial" w:cs="Arial"/>
          <w:b/>
          <w:color w:val="000000"/>
          <w:sz w:val="24"/>
          <w:szCs w:val="24"/>
        </w:rPr>
      </w:pPr>
      <w:r w:rsidRPr="006639EA">
        <w:rPr>
          <w:rFonts w:ascii="Arial" w:hAnsi="Arial" w:cs="Arial"/>
          <w:b/>
          <w:color w:val="000000"/>
          <w:sz w:val="24"/>
          <w:szCs w:val="24"/>
        </w:rPr>
        <w:t>La entidad anexa actos administrativos o los documentos equivalentes en los que se establece la estructura orgánica vigente.</w:t>
      </w:r>
    </w:p>
    <w:p w14:paraId="714DC330"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color w:val="000000"/>
          <w:sz w:val="24"/>
          <w:szCs w:val="24"/>
          <w:lang w:val="es-CO"/>
        </w:rPr>
        <w:t>Se evidencia en el Reglamento Interno (Acuerdo No. 018 del 14 de diciembre de 2022) del Concejo Municipal de Cachipay. la definición de la estructura orgánica de la entidad, en la cual se identifican sus órganos internos y formas de organización (como mesa directiva, comisiones y roles institucionales). Dicho documento constituye un acto administrativo válido que establece la organización interna del Concejo, permitiendo reconocer su estructura orgánico-funcional.</w:t>
      </w:r>
    </w:p>
    <w:p w14:paraId="4F45F3E2" w14:textId="77777777" w:rsidR="006639EA" w:rsidRPr="006639EA" w:rsidRDefault="006639EA" w:rsidP="006639EA">
      <w:pPr>
        <w:spacing w:after="160"/>
        <w:jc w:val="both"/>
        <w:rPr>
          <w:rFonts w:ascii="Arial" w:hAnsi="Arial" w:cs="Arial"/>
          <w:b/>
          <w:bCs/>
          <w:color w:val="000000"/>
          <w:sz w:val="24"/>
          <w:szCs w:val="24"/>
        </w:rPr>
      </w:pPr>
      <w:r w:rsidRPr="006639EA">
        <w:rPr>
          <w:rFonts w:ascii="Arial" w:hAnsi="Arial" w:cs="Arial"/>
          <w:b/>
          <w:bCs/>
          <w:color w:val="000000"/>
          <w:sz w:val="24"/>
          <w:szCs w:val="24"/>
        </w:rPr>
        <w:t>Cumple</w:t>
      </w:r>
    </w:p>
    <w:p w14:paraId="49AA1139"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bCs/>
          <w:color w:val="000000"/>
          <w:sz w:val="24"/>
          <w:szCs w:val="24"/>
        </w:rPr>
        <w:t>1.2 La entidad anexa actos administrativos o los documentos equivalentes en los</w:t>
      </w:r>
      <w:r w:rsidRPr="006639EA">
        <w:rPr>
          <w:rFonts w:ascii="Arial" w:hAnsi="Arial" w:cs="Arial"/>
          <w:b/>
          <w:color w:val="000000"/>
          <w:sz w:val="24"/>
          <w:szCs w:val="24"/>
        </w:rPr>
        <w:t xml:space="preserve"> que se establecen las funciones de cada una de las unidades administrativas que conforman la estructura orgánica vigente.</w:t>
      </w:r>
    </w:p>
    <w:p w14:paraId="1C6395AB"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lastRenderedPageBreak/>
        <w:t>Se evidencia, en el Reglamento Interno del Concejo Municipal de Cachipay, la definición explícita de la estructura orgánica, conformada por la Plenaria del Concejo Municipal, la Mesa Directiva, las Comisiones Permanentes, la Secretaría General y las Unidades de Apoyo Normativo.</w:t>
      </w:r>
    </w:p>
    <w:p w14:paraId="3371926B"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 xml:space="preserve">Así mismo, el documento establece de forma clara las funciones asociadas a estos órganos y roles institucionales, incluyendo las funciones generales del Concejo, del </w:t>
      </w:r>
      <w:proofErr w:type="gramStart"/>
      <w:r w:rsidRPr="006639EA">
        <w:rPr>
          <w:rFonts w:ascii="Arial" w:hAnsi="Arial" w:cs="Arial"/>
          <w:color w:val="000000"/>
          <w:sz w:val="24"/>
          <w:szCs w:val="24"/>
          <w:lang w:val="es-CO"/>
        </w:rPr>
        <w:t>Presidente</w:t>
      </w:r>
      <w:proofErr w:type="gramEnd"/>
      <w:r w:rsidRPr="006639EA">
        <w:rPr>
          <w:rFonts w:ascii="Arial" w:hAnsi="Arial" w:cs="Arial"/>
          <w:color w:val="000000"/>
          <w:sz w:val="24"/>
          <w:szCs w:val="24"/>
          <w:lang w:val="es-CO"/>
        </w:rPr>
        <w:t xml:space="preserve"> (artículo 57), del Primer y Segundo </w:t>
      </w:r>
      <w:proofErr w:type="gramStart"/>
      <w:r w:rsidRPr="006639EA">
        <w:rPr>
          <w:rFonts w:ascii="Arial" w:hAnsi="Arial" w:cs="Arial"/>
          <w:color w:val="000000"/>
          <w:sz w:val="24"/>
          <w:szCs w:val="24"/>
          <w:lang w:val="es-CO"/>
        </w:rPr>
        <w:t>Vicepresidente</w:t>
      </w:r>
      <w:proofErr w:type="gramEnd"/>
      <w:r w:rsidRPr="006639EA">
        <w:rPr>
          <w:rFonts w:ascii="Arial" w:hAnsi="Arial" w:cs="Arial"/>
          <w:color w:val="000000"/>
          <w:sz w:val="24"/>
          <w:szCs w:val="24"/>
          <w:lang w:val="es-CO"/>
        </w:rPr>
        <w:t xml:space="preserve">, de la Mesa Directiva (artículo 62), del </w:t>
      </w:r>
      <w:proofErr w:type="gramStart"/>
      <w:r w:rsidRPr="006639EA">
        <w:rPr>
          <w:rFonts w:ascii="Arial" w:hAnsi="Arial" w:cs="Arial"/>
          <w:color w:val="000000"/>
          <w:sz w:val="24"/>
          <w:szCs w:val="24"/>
          <w:lang w:val="es-CO"/>
        </w:rPr>
        <w:t>Secretario</w:t>
      </w:r>
      <w:proofErr w:type="gramEnd"/>
      <w:r w:rsidRPr="006639EA">
        <w:rPr>
          <w:rFonts w:ascii="Arial" w:hAnsi="Arial" w:cs="Arial"/>
          <w:color w:val="000000"/>
          <w:sz w:val="24"/>
          <w:szCs w:val="24"/>
          <w:lang w:val="es-CO"/>
        </w:rPr>
        <w:t xml:space="preserve"> (artículo 71), así como la conformación y funciones de las Comisiones Permanentes.</w:t>
      </w:r>
    </w:p>
    <w:p w14:paraId="270AEFC9" w14:textId="0EFEEB4B"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Esta información</w:t>
      </w:r>
      <w:r>
        <w:rPr>
          <w:rFonts w:ascii="Arial" w:hAnsi="Arial" w:cs="Arial"/>
          <w:color w:val="000000"/>
          <w:sz w:val="24"/>
          <w:szCs w:val="24"/>
          <w:lang w:val="es-CO"/>
        </w:rPr>
        <w:t>,</w:t>
      </w:r>
      <w:r w:rsidRPr="006639EA">
        <w:rPr>
          <w:rFonts w:ascii="Arial" w:hAnsi="Arial" w:cs="Arial"/>
          <w:color w:val="000000"/>
          <w:sz w:val="24"/>
          <w:szCs w:val="24"/>
          <w:lang w:val="es-CO"/>
        </w:rPr>
        <w:t xml:space="preserve"> permite identificar de manera explícita las funciones de las instancias que conforman la estructura orgánica, cumpliendo con el criterio evaluado.</w:t>
      </w:r>
    </w:p>
    <w:p w14:paraId="699DAE7C" w14:textId="77777777" w:rsidR="006639EA" w:rsidRPr="006639EA" w:rsidRDefault="006639EA" w:rsidP="006639EA">
      <w:pPr>
        <w:spacing w:after="160"/>
        <w:jc w:val="both"/>
        <w:rPr>
          <w:rFonts w:ascii="Arial" w:hAnsi="Arial" w:cs="Arial"/>
          <w:b/>
          <w:bCs/>
          <w:color w:val="000000"/>
          <w:sz w:val="24"/>
          <w:szCs w:val="24"/>
        </w:rPr>
      </w:pPr>
      <w:r w:rsidRPr="006639EA">
        <w:rPr>
          <w:rFonts w:ascii="Arial" w:hAnsi="Arial" w:cs="Arial"/>
          <w:b/>
          <w:bCs/>
          <w:color w:val="000000"/>
          <w:sz w:val="24"/>
          <w:szCs w:val="24"/>
        </w:rPr>
        <w:t xml:space="preserve">Cumple </w:t>
      </w:r>
    </w:p>
    <w:p w14:paraId="613BBB4A"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b/>
          <w:color w:val="000000"/>
          <w:sz w:val="24"/>
          <w:szCs w:val="24"/>
        </w:rPr>
        <w:t>1.3. La entidad anexa actos administrativos o los documentos equivalentes mediante los cuales se crean órganos</w:t>
      </w:r>
      <w:r w:rsidRPr="006639EA">
        <w:rPr>
          <w:rFonts w:ascii="Arial" w:hAnsi="Arial" w:cs="Arial"/>
          <w:color w:val="000000"/>
          <w:sz w:val="24"/>
          <w:szCs w:val="24"/>
          <w:lang w:val="es-CO"/>
        </w:rPr>
        <w:t>.</w:t>
      </w:r>
    </w:p>
    <w:p w14:paraId="4B8CE378"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Aunque en el Reglamento Interno del Concejo Municipal de Cachipay, se mencionan órganos e instancias de funcionamiento interno, no se evidencia en los anexos la estructura orgánica de la entidad mediante organigrama o documento equivalente que permita identificar de manera clara su conformación, jerarquía y articulación. De igual manera, en la memoria descriptiva no se desarrolla dicha estructura con el debido soporte.</w:t>
      </w:r>
    </w:p>
    <w:p w14:paraId="76FF4769"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En consecuencia, el expediente no permite verificar integralmente la creación y conformación de los órganos en los términos exigidos para la evaluación del instrumento archivístico, por lo que el ítem no se cumple.</w:t>
      </w:r>
    </w:p>
    <w:p w14:paraId="3A6378A9"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No cumple</w:t>
      </w:r>
    </w:p>
    <w:p w14:paraId="1518CC6E"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1.4 La entidad anexa la estructura orgánica vigente (organigrama), sustentada en actos administrativos o documentos equivalentes.</w:t>
      </w:r>
    </w:p>
    <w:p w14:paraId="7367540D"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No se evidencia de forma explícita en los anexos un organigrama institucional como documento independiente que represente la estructura orgánica del Concejo Municipal de Cachipay.</w:t>
      </w:r>
    </w:p>
    <w:p w14:paraId="5E106A7C"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Así mismo, en la memoria descriptiva no se identifica el desarrollo de la estructura orgánica ni su representación gráfica o descripción detallada que permita reconocer la conformación y jerarquía de la entidad, ni su sustento en acto administrativo.</w:t>
      </w:r>
    </w:p>
    <w:p w14:paraId="36D20950" w14:textId="77777777" w:rsidR="006639EA" w:rsidRPr="006639EA" w:rsidRDefault="006639EA" w:rsidP="006639EA">
      <w:pPr>
        <w:spacing w:after="160"/>
        <w:jc w:val="both"/>
        <w:rPr>
          <w:rFonts w:ascii="Arial" w:hAnsi="Arial" w:cs="Arial"/>
          <w:b/>
          <w:bCs/>
          <w:color w:val="000000"/>
          <w:sz w:val="24"/>
          <w:szCs w:val="24"/>
        </w:rPr>
      </w:pPr>
      <w:r w:rsidRPr="006639EA">
        <w:rPr>
          <w:rFonts w:ascii="Arial" w:hAnsi="Arial" w:cs="Arial"/>
          <w:b/>
          <w:bCs/>
          <w:color w:val="000000"/>
          <w:sz w:val="24"/>
          <w:szCs w:val="24"/>
        </w:rPr>
        <w:t>No cumple</w:t>
      </w:r>
    </w:p>
    <w:p w14:paraId="32BC1BFA" w14:textId="77777777" w:rsidR="006639EA" w:rsidRPr="006639EA" w:rsidRDefault="006639EA" w:rsidP="006639EA">
      <w:pPr>
        <w:spacing w:after="160"/>
        <w:jc w:val="both"/>
        <w:rPr>
          <w:rFonts w:ascii="Arial" w:hAnsi="Arial" w:cs="Arial"/>
          <w:color w:val="000000"/>
          <w:sz w:val="24"/>
          <w:szCs w:val="24"/>
        </w:rPr>
      </w:pPr>
      <w:r w:rsidRPr="006639EA">
        <w:rPr>
          <w:rFonts w:ascii="Arial" w:hAnsi="Arial" w:cs="Arial"/>
          <w:b/>
          <w:color w:val="000000"/>
          <w:sz w:val="24"/>
          <w:szCs w:val="24"/>
        </w:rPr>
        <w:t xml:space="preserve">1.5 La entidad anexa el cuadro de clasificación documental (CCD). El CCD representa de forma unificada y debidamente codificadas y jerarquizadas las </w:t>
      </w:r>
      <w:r w:rsidRPr="006639EA">
        <w:rPr>
          <w:rFonts w:ascii="Arial" w:hAnsi="Arial" w:cs="Arial"/>
          <w:b/>
          <w:color w:val="000000"/>
          <w:sz w:val="24"/>
          <w:szCs w:val="24"/>
        </w:rPr>
        <w:lastRenderedPageBreak/>
        <w:t xml:space="preserve">agrupaciones documentales en las cuales se subdivide el fondo, es decir, </w:t>
      </w:r>
      <w:proofErr w:type="spellStart"/>
      <w:r w:rsidRPr="006639EA">
        <w:rPr>
          <w:rFonts w:ascii="Arial" w:hAnsi="Arial" w:cs="Arial"/>
          <w:b/>
          <w:color w:val="000000"/>
          <w:sz w:val="24"/>
          <w:szCs w:val="24"/>
        </w:rPr>
        <w:t>subfondos</w:t>
      </w:r>
      <w:proofErr w:type="spellEnd"/>
      <w:r w:rsidRPr="006639EA">
        <w:rPr>
          <w:rFonts w:ascii="Arial" w:hAnsi="Arial" w:cs="Arial"/>
          <w:b/>
          <w:color w:val="000000"/>
          <w:sz w:val="24"/>
          <w:szCs w:val="24"/>
        </w:rPr>
        <w:t xml:space="preserve"> (de ser el caso), secciones, subsecciones, series y subseries.</w:t>
      </w:r>
    </w:p>
    <w:p w14:paraId="758A1E75"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La entidad, presenta el Cuadro de Clasificación Documental (CCD), en el cual se identifican de manera codificada y jerarquizada las series y subseries documentales que conforman el fondo documental institucional, permitiendo reconocer la organización de la producción documental.</w:t>
      </w:r>
    </w:p>
    <w:p w14:paraId="4EBF6A23"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No obstante, la ausencia de organigrama y de una estructura orgánica formalmente documentada limita la trazabilidad entre la estructura administrativa y la clasificación documental, aspecto que debe ser verificado para garantizar la correcta correspondencia entre funciones y producción documental.</w:t>
      </w:r>
    </w:p>
    <w:p w14:paraId="20578F77"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
          <w:bCs/>
          <w:color w:val="000000"/>
          <w:sz w:val="24"/>
          <w:szCs w:val="24"/>
          <w:lang w:val="es-CO"/>
        </w:rPr>
        <w:t>Cumple</w:t>
      </w:r>
    </w:p>
    <w:p w14:paraId="5A279E66"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1.6 La entidad adjunta copia del acta de la(s) sesión(es) en las cuales se avalaron las Tablas de Retención Documental por parte del órgano colegiado que tiene tal función.</w:t>
      </w:r>
    </w:p>
    <w:p w14:paraId="3CF4848C" w14:textId="77777777" w:rsidR="006639EA" w:rsidRPr="006639EA" w:rsidRDefault="006639EA" w:rsidP="006639EA">
      <w:pPr>
        <w:spacing w:after="160"/>
        <w:jc w:val="both"/>
        <w:rPr>
          <w:rFonts w:ascii="Arial" w:hAnsi="Arial" w:cs="Arial"/>
          <w:color w:val="000000"/>
          <w:sz w:val="24"/>
          <w:szCs w:val="24"/>
        </w:rPr>
      </w:pPr>
      <w:r w:rsidRPr="006639EA">
        <w:rPr>
          <w:rFonts w:ascii="Arial" w:hAnsi="Arial" w:cs="Arial"/>
          <w:color w:val="000000"/>
          <w:sz w:val="24"/>
          <w:szCs w:val="24"/>
        </w:rPr>
        <w:t xml:space="preserve">El Concejo, adjunto copia del acta, mediante la cual se aprobó el instrumento archivístico, con fecha de aprobación: 24 de junio de 2025. </w:t>
      </w:r>
      <w:r w:rsidRPr="006639EA">
        <w:rPr>
          <w:rFonts w:ascii="Arial" w:hAnsi="Arial" w:cs="Arial"/>
          <w:b/>
          <w:bCs/>
          <w:color w:val="000000"/>
          <w:sz w:val="24"/>
          <w:szCs w:val="24"/>
        </w:rPr>
        <w:t>Cumple.</w:t>
      </w:r>
    </w:p>
    <w:p w14:paraId="0B8DD25E"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1.7 La entidad adjunta el acto administrativo o el documento equivalente expedido por el representante legal mediante el cual se aprueban las TRD.</w:t>
      </w:r>
    </w:p>
    <w:p w14:paraId="5ACC1C04" w14:textId="77777777" w:rsidR="006639EA" w:rsidRPr="006639EA" w:rsidRDefault="006639EA" w:rsidP="006639EA">
      <w:pPr>
        <w:spacing w:after="160"/>
        <w:jc w:val="both"/>
        <w:rPr>
          <w:rFonts w:ascii="Arial" w:hAnsi="Arial" w:cs="Arial"/>
          <w:color w:val="000000"/>
          <w:sz w:val="24"/>
          <w:szCs w:val="24"/>
        </w:rPr>
      </w:pPr>
      <w:r w:rsidRPr="006639EA">
        <w:rPr>
          <w:rFonts w:ascii="Arial" w:hAnsi="Arial" w:cs="Arial"/>
          <w:color w:val="000000"/>
          <w:sz w:val="24"/>
          <w:szCs w:val="24"/>
        </w:rPr>
        <w:t>El Concejo Municipal, adjunta copia de la Resolución No. 049 de 2025, por la cual se aprueba la TRD de la entidad. C</w:t>
      </w:r>
      <w:r w:rsidRPr="006639EA">
        <w:rPr>
          <w:rFonts w:ascii="Arial" w:hAnsi="Arial" w:cs="Arial"/>
          <w:b/>
          <w:bCs/>
          <w:color w:val="000000"/>
          <w:sz w:val="24"/>
          <w:szCs w:val="24"/>
        </w:rPr>
        <w:t>umple</w:t>
      </w:r>
      <w:r w:rsidRPr="006639EA">
        <w:rPr>
          <w:rFonts w:ascii="Arial" w:hAnsi="Arial" w:cs="Arial"/>
          <w:color w:val="000000"/>
          <w:sz w:val="24"/>
          <w:szCs w:val="24"/>
        </w:rPr>
        <w:t>.</w:t>
      </w:r>
    </w:p>
    <w:p w14:paraId="635BA44F"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2. MEMORIA DESCRIPTIVA</w:t>
      </w:r>
    </w:p>
    <w:p w14:paraId="4DBB6941" w14:textId="77777777" w:rsidR="006639EA" w:rsidRPr="006639EA" w:rsidRDefault="006639EA" w:rsidP="006639EA">
      <w:pPr>
        <w:spacing w:after="160"/>
        <w:jc w:val="both"/>
        <w:rPr>
          <w:rFonts w:ascii="Arial" w:hAnsi="Arial" w:cs="Arial"/>
          <w:color w:val="000000"/>
          <w:sz w:val="24"/>
          <w:szCs w:val="24"/>
        </w:rPr>
      </w:pPr>
      <w:r w:rsidRPr="006639EA">
        <w:rPr>
          <w:rFonts w:ascii="Arial" w:hAnsi="Arial" w:cs="Arial"/>
          <w:color w:val="000000"/>
          <w:sz w:val="24"/>
          <w:szCs w:val="24"/>
        </w:rPr>
        <w:t>En este ítem se evaluó el nivel de cumplimiento de las TRD frente a los siguientes requerimientos.</w:t>
      </w:r>
    </w:p>
    <w:p w14:paraId="29C1B470" w14:textId="77777777" w:rsidR="006639EA" w:rsidRPr="006639EA" w:rsidRDefault="006639EA" w:rsidP="006639EA">
      <w:pPr>
        <w:spacing w:after="160"/>
        <w:jc w:val="both"/>
        <w:rPr>
          <w:rFonts w:ascii="Arial" w:hAnsi="Arial" w:cs="Arial"/>
          <w:color w:val="000000"/>
          <w:sz w:val="24"/>
          <w:szCs w:val="24"/>
        </w:rPr>
      </w:pPr>
      <w:r w:rsidRPr="006639EA">
        <w:rPr>
          <w:rFonts w:ascii="Arial" w:hAnsi="Arial" w:cs="Arial"/>
          <w:b/>
          <w:color w:val="000000"/>
          <w:sz w:val="24"/>
          <w:szCs w:val="24"/>
        </w:rPr>
        <w:t xml:space="preserve">2.1 Presenta la memoria descriptiva con la cual la entidad adelantó el proceso de </w:t>
      </w:r>
      <w:r w:rsidRPr="006639EA">
        <w:rPr>
          <w:rFonts w:ascii="Arial" w:hAnsi="Arial" w:cs="Arial"/>
          <w:b/>
          <w:bCs/>
          <w:color w:val="000000"/>
          <w:sz w:val="24"/>
          <w:szCs w:val="24"/>
        </w:rPr>
        <w:t>elaboración o actualización de las TRD.</w:t>
      </w:r>
    </w:p>
    <w:p w14:paraId="0733EDA7"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El Concejo Municipal de Cachipay, presenta la memoria descriptiva como documento anexo, en la cual se expone el proceso adelantado para la elaboración de las Tablas de Retención Documental, incluyendo aspectos metodológicos y de desarrollo del instrumento archivístico.</w:t>
      </w:r>
    </w:p>
    <w:p w14:paraId="6E30E5A6"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b/>
          <w:bCs/>
          <w:color w:val="000000"/>
          <w:sz w:val="24"/>
          <w:szCs w:val="24"/>
          <w:lang w:val="es-CO"/>
        </w:rPr>
        <w:t xml:space="preserve">Cumple </w:t>
      </w:r>
    </w:p>
    <w:p w14:paraId="64E7042B" w14:textId="77777777" w:rsidR="006639EA" w:rsidRPr="006639EA" w:rsidRDefault="006639EA" w:rsidP="006639EA">
      <w:pPr>
        <w:spacing w:after="160"/>
        <w:jc w:val="both"/>
        <w:rPr>
          <w:rFonts w:ascii="Arial" w:hAnsi="Arial" w:cs="Arial"/>
          <w:b/>
          <w:bCs/>
          <w:color w:val="000000"/>
          <w:sz w:val="24"/>
          <w:szCs w:val="24"/>
        </w:rPr>
      </w:pPr>
      <w:r w:rsidRPr="006639EA">
        <w:rPr>
          <w:rFonts w:ascii="Arial" w:hAnsi="Arial" w:cs="Arial"/>
          <w:b/>
          <w:bCs/>
          <w:color w:val="000000"/>
          <w:sz w:val="24"/>
          <w:szCs w:val="24"/>
        </w:rPr>
        <w:t>2.2. La memoria descriptiva explica cómo está conformada la estructura orgánico – funcional</w:t>
      </w:r>
      <w:r w:rsidRPr="006639EA">
        <w:rPr>
          <w:rFonts w:ascii="Arial" w:hAnsi="Arial" w:cs="Arial"/>
          <w:color w:val="000000"/>
          <w:sz w:val="24"/>
          <w:szCs w:val="24"/>
        </w:rPr>
        <w:t xml:space="preserve"> </w:t>
      </w:r>
      <w:r w:rsidRPr="006639EA">
        <w:rPr>
          <w:rFonts w:ascii="Arial" w:hAnsi="Arial" w:cs="Arial"/>
          <w:b/>
          <w:bCs/>
          <w:color w:val="000000"/>
          <w:sz w:val="24"/>
          <w:szCs w:val="24"/>
        </w:rPr>
        <w:t xml:space="preserve">de la entidad, sustentada en actos administrativos u otros documentos que le den validez. </w:t>
      </w:r>
    </w:p>
    <w:p w14:paraId="0D97D0FF"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 xml:space="preserve">La memoria descriptiva, no presenta la estructura orgánico–funcional de la entidad, ni desarrolla su conformación, jerarquía o articulación entre dependencias. No se </w:t>
      </w:r>
      <w:r w:rsidRPr="006639EA">
        <w:rPr>
          <w:rFonts w:ascii="Arial" w:hAnsi="Arial" w:cs="Arial"/>
          <w:color w:val="000000"/>
          <w:sz w:val="24"/>
          <w:szCs w:val="24"/>
          <w:lang w:val="es-CO"/>
        </w:rPr>
        <w:lastRenderedPageBreak/>
        <w:t>evidencia la inclusión de organigrama ni la descripción sustentada en actos administrativos que permitan validar dicha estructura.</w:t>
      </w:r>
    </w:p>
    <w:p w14:paraId="14398548"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La revisión integral del documento y sus anexos confirma la ausencia de esta información.</w:t>
      </w:r>
    </w:p>
    <w:p w14:paraId="7DBAC8EF" w14:textId="77777777" w:rsidR="006639EA" w:rsidRPr="006639EA" w:rsidRDefault="006639EA" w:rsidP="006639EA">
      <w:pPr>
        <w:spacing w:after="160"/>
        <w:jc w:val="both"/>
        <w:rPr>
          <w:rFonts w:ascii="Arial" w:hAnsi="Arial" w:cs="Arial"/>
          <w:b/>
          <w:bCs/>
          <w:color w:val="000000"/>
          <w:sz w:val="24"/>
          <w:szCs w:val="24"/>
          <w:lang w:val="es-CO"/>
        </w:rPr>
      </w:pPr>
      <w:r w:rsidRPr="006639EA">
        <w:rPr>
          <w:rFonts w:ascii="Arial" w:hAnsi="Arial" w:cs="Arial"/>
          <w:b/>
          <w:bCs/>
          <w:color w:val="000000"/>
          <w:sz w:val="24"/>
          <w:szCs w:val="24"/>
          <w:lang w:val="es-CO"/>
        </w:rPr>
        <w:t>No cumple</w:t>
      </w:r>
    </w:p>
    <w:p w14:paraId="01BB785B"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2.3. La memoria descriptiva incluye un apartado en el cual se indica cómo se establece la codificación de los Cuadros de Clasificación Documental (CCD) y las TRD.</w:t>
      </w:r>
    </w:p>
    <w:p w14:paraId="1004F488"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La memoria descriptiva, no evidencia de forma explícita un apartado en el que se explique el procedimiento o criterios utilizados para establecer la codificación del Cuadro de Clasificación Documental (CCD) y de las Tablas de Retención Documental (TRD). No se identifican lineamientos, estructura de códigos ni metodología que permita comprender cómo se asignaron dichas codificaciones dentro de los instrumentos archivísticos.</w:t>
      </w:r>
    </w:p>
    <w:p w14:paraId="2925C519" w14:textId="77777777" w:rsidR="006639EA" w:rsidRPr="006639EA" w:rsidRDefault="006639EA" w:rsidP="006639EA">
      <w:pPr>
        <w:spacing w:after="160"/>
        <w:jc w:val="both"/>
        <w:rPr>
          <w:rFonts w:ascii="Arial" w:hAnsi="Arial" w:cs="Arial"/>
          <w:b/>
          <w:color w:val="000000"/>
          <w:sz w:val="24"/>
          <w:szCs w:val="24"/>
          <w:lang w:val="es-CO"/>
        </w:rPr>
      </w:pPr>
      <w:r w:rsidRPr="006639EA">
        <w:rPr>
          <w:rFonts w:ascii="Arial" w:hAnsi="Arial" w:cs="Arial"/>
          <w:b/>
          <w:bCs/>
          <w:color w:val="000000"/>
          <w:sz w:val="24"/>
          <w:szCs w:val="24"/>
          <w:lang w:val="es-CO"/>
        </w:rPr>
        <w:t xml:space="preserve">No cumple </w:t>
      </w:r>
    </w:p>
    <w:p w14:paraId="290729B3"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2.4. La memoria descriptiva incluye indicaciones sobre el diligenciamiento y lectura del formato de TRD. Sin embargo, cuando el formato de TRD presentado por la entidad incluya casillas diferentes a las establecidas por la norma (Acuerdo 001 de 2024), será necesario que la entidad brinde la información para comprender su contenido.</w:t>
      </w:r>
    </w:p>
    <w:p w14:paraId="12D774CC"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La memoria descriptiva, no evidencia de forma explícita indicaciones orientadas a la lectura, interpretación o diligenciamiento del formato de las Tablas de Retención Documental (TRD). No se identifican instrucciones que permitan comprender el contenido de las casillas, su uso o la forma en que debe interpretarse la información consignada en el instrumento.</w:t>
      </w:r>
    </w:p>
    <w:p w14:paraId="6EA8757F"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Así mismo, no se desarrollan aclaraciones adicionales frente a posibles campos o estructuras del formato.</w:t>
      </w:r>
    </w:p>
    <w:p w14:paraId="4FB07C9A"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b/>
          <w:bCs/>
          <w:color w:val="000000"/>
          <w:sz w:val="24"/>
          <w:szCs w:val="24"/>
          <w:lang w:val="es-CO"/>
        </w:rPr>
        <w:t xml:space="preserve">No cumple </w:t>
      </w:r>
    </w:p>
    <w:p w14:paraId="40A8F657" w14:textId="77777777" w:rsidR="006639EA" w:rsidRPr="006639EA" w:rsidRDefault="006639EA" w:rsidP="006639EA">
      <w:pPr>
        <w:spacing w:after="160"/>
        <w:jc w:val="both"/>
        <w:rPr>
          <w:rFonts w:ascii="Arial" w:hAnsi="Arial" w:cs="Arial"/>
          <w:color w:val="000000"/>
          <w:sz w:val="24"/>
          <w:szCs w:val="24"/>
        </w:rPr>
      </w:pPr>
      <w:r w:rsidRPr="006639EA">
        <w:rPr>
          <w:rFonts w:ascii="Arial" w:hAnsi="Arial" w:cs="Arial"/>
          <w:b/>
          <w:color w:val="000000"/>
          <w:sz w:val="24"/>
          <w:szCs w:val="24"/>
        </w:rPr>
        <w:t>2.5 La entidad indica cuáles fueron los criterios generales para definir los tiempos de retención de series y subseries documentales.</w:t>
      </w:r>
      <w:r w:rsidRPr="006639EA">
        <w:rPr>
          <w:rFonts w:ascii="Arial" w:hAnsi="Arial" w:cs="Arial"/>
          <w:color w:val="000000"/>
          <w:sz w:val="24"/>
          <w:szCs w:val="24"/>
        </w:rPr>
        <w:t xml:space="preserve"> </w:t>
      </w:r>
    </w:p>
    <w:p w14:paraId="2CFF2BA4"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La memoria descriptiva, no evidencia de forma explícita los criterios generales utilizados para la definición de los tiempos de retención de las series y subseries documentales. No se identifican lineamientos relacionados con la valoración documental (administrativa, legal, fiscal o histórica) que sustenten la asignación de los tiempos establecidos en las TRD.</w:t>
      </w:r>
    </w:p>
    <w:p w14:paraId="543A09B8"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b/>
          <w:bCs/>
          <w:color w:val="000000"/>
          <w:sz w:val="24"/>
          <w:szCs w:val="24"/>
          <w:lang w:val="es-CO"/>
        </w:rPr>
        <w:t>No cumple</w:t>
      </w:r>
    </w:p>
    <w:p w14:paraId="5193BB33"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lastRenderedPageBreak/>
        <w:t>2.6. La entidad indica cuáles fueron los criterios generales para definir la disposición final de series y subseries documentales.</w:t>
      </w:r>
    </w:p>
    <w:p w14:paraId="2B8167D3"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La memoria descriptiva, no evidencia de forma explícita los criterios generales utilizados para la definición de la disposición final de las series y subseries documentales. No se identifican lineamientos relacionados con procesos de valoración secundaria, selección, conservación total o eliminación que sustenten las decisiones adoptadas en las TRD.</w:t>
      </w:r>
    </w:p>
    <w:p w14:paraId="1E78CA65" w14:textId="77777777" w:rsidR="006639EA" w:rsidRPr="006639EA" w:rsidRDefault="006639EA" w:rsidP="006639EA">
      <w:pPr>
        <w:spacing w:after="160"/>
        <w:jc w:val="both"/>
        <w:rPr>
          <w:rFonts w:ascii="Arial" w:hAnsi="Arial" w:cs="Arial"/>
          <w:b/>
          <w:bCs/>
          <w:color w:val="000000"/>
          <w:sz w:val="24"/>
          <w:szCs w:val="24"/>
          <w:lang w:val="es-CO"/>
        </w:rPr>
      </w:pPr>
      <w:r w:rsidRPr="006639EA">
        <w:rPr>
          <w:rFonts w:ascii="Arial" w:hAnsi="Arial" w:cs="Arial"/>
          <w:b/>
          <w:bCs/>
          <w:color w:val="000000"/>
          <w:sz w:val="24"/>
          <w:szCs w:val="24"/>
          <w:lang w:val="es-CO"/>
        </w:rPr>
        <w:t>No cumple</w:t>
      </w:r>
    </w:p>
    <w:p w14:paraId="1AF935C6" w14:textId="77777777" w:rsidR="006639EA" w:rsidRPr="006639EA" w:rsidRDefault="006639EA" w:rsidP="006639EA">
      <w:pPr>
        <w:spacing w:after="160"/>
        <w:jc w:val="both"/>
        <w:rPr>
          <w:rFonts w:ascii="Arial" w:hAnsi="Arial" w:cs="Arial"/>
          <w:color w:val="000000"/>
          <w:sz w:val="24"/>
          <w:szCs w:val="24"/>
        </w:rPr>
      </w:pPr>
      <w:r w:rsidRPr="006639EA">
        <w:rPr>
          <w:rFonts w:ascii="Arial" w:hAnsi="Arial" w:cs="Arial"/>
          <w:b/>
          <w:color w:val="000000"/>
          <w:sz w:val="24"/>
          <w:szCs w:val="24"/>
        </w:rPr>
        <w:t>2.7 En el caso de las series y subseries documentales con disposición final Selección (S), la entidad indica con base en qué criterios determinan el tamaño de las muestras y los métodos de selección</w:t>
      </w:r>
      <w:r w:rsidRPr="006639EA">
        <w:rPr>
          <w:rFonts w:ascii="Arial" w:hAnsi="Arial" w:cs="Arial"/>
          <w:color w:val="000000"/>
          <w:sz w:val="24"/>
          <w:szCs w:val="24"/>
        </w:rPr>
        <w:t>.</w:t>
      </w:r>
    </w:p>
    <w:p w14:paraId="65909F6E"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El Concejo Municipal de Cachipay, establece en la memoria descriptiva los criterios para la aplicación del proceso de selección documental, indicando la implementación de dos metodologías: selección cualitativa y selección aleatoria cuantitativa.</w:t>
      </w:r>
    </w:p>
    <w:p w14:paraId="78412922"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Se describen criterios cualitativos asociados a la identificación de valores secundarios en los documentos, así como la definición de características específicas para la conservación, como en el caso de derechos de petición e historias laborales. De igual manera, se incorpora la selección aleatoria basada en el volumen de producción documental.</w:t>
      </w:r>
    </w:p>
    <w:p w14:paraId="76D3E5F3"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Así mismo, se presentan tablas en las que se especifica el porcentaje de muestra a seleccionar y los criterios aplicados, lo que permite identificar tanto los métodos como los parámetros de selección utilizados.</w:t>
      </w:r>
    </w:p>
    <w:p w14:paraId="3A298AFF" w14:textId="77777777" w:rsidR="006639EA" w:rsidRPr="006639EA" w:rsidRDefault="006639EA" w:rsidP="006639EA">
      <w:pPr>
        <w:spacing w:after="160"/>
        <w:jc w:val="both"/>
        <w:rPr>
          <w:rFonts w:ascii="Arial" w:hAnsi="Arial" w:cs="Arial"/>
          <w:color w:val="000000"/>
          <w:sz w:val="24"/>
          <w:szCs w:val="24"/>
          <w:highlight w:val="yellow"/>
          <w:lang w:val="es-CO"/>
        </w:rPr>
      </w:pPr>
      <w:r w:rsidRPr="006639EA">
        <w:rPr>
          <w:rFonts w:ascii="Arial" w:hAnsi="Arial" w:cs="Arial"/>
          <w:b/>
          <w:bCs/>
          <w:color w:val="000000"/>
          <w:sz w:val="24"/>
          <w:szCs w:val="24"/>
          <w:lang w:val="es-CO"/>
        </w:rPr>
        <w:t xml:space="preserve">Cumple </w:t>
      </w:r>
    </w:p>
    <w:p w14:paraId="66C62BE1" w14:textId="77777777" w:rsidR="006639EA" w:rsidRPr="006639EA" w:rsidRDefault="006639EA" w:rsidP="006639EA">
      <w:pPr>
        <w:spacing w:after="160"/>
        <w:jc w:val="both"/>
        <w:rPr>
          <w:rFonts w:ascii="Arial" w:hAnsi="Arial" w:cs="Arial"/>
          <w:color w:val="000000"/>
          <w:sz w:val="24"/>
          <w:szCs w:val="24"/>
        </w:rPr>
      </w:pPr>
      <w:r w:rsidRPr="006639EA">
        <w:rPr>
          <w:rFonts w:ascii="Arial" w:hAnsi="Arial" w:cs="Arial"/>
          <w:b/>
          <w:color w:val="000000"/>
          <w:sz w:val="24"/>
          <w:szCs w:val="24"/>
        </w:rPr>
        <w:t>2.8 En el caso de las series y subseries documentales que vayan a reproducirse por otros medios tecnológicos se justifica el motivo de esta decisión</w:t>
      </w:r>
      <w:r w:rsidRPr="006639EA">
        <w:rPr>
          <w:rFonts w:ascii="Arial" w:hAnsi="Arial" w:cs="Arial"/>
          <w:color w:val="000000"/>
          <w:sz w:val="24"/>
          <w:szCs w:val="24"/>
        </w:rPr>
        <w:t>.</w:t>
      </w:r>
    </w:p>
    <w:p w14:paraId="5B8E4F5F"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El Concejo Municipal de Cachipay, establece en la memoria descriptiva la reproducción de documentos mediante procesos de digitalización, indicando su aplicación sobre las muestras documentales seleccionadas. Se justifica esta decisión en la necesidad de facilitar la consulta, acceso y preservación de la información en otros soportes, en concordancia con los procesos archivísticos definidos por la entidad.</w:t>
      </w:r>
    </w:p>
    <w:p w14:paraId="7D87DA48"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La información presentada permite identificar el motivo de la reproducción por medios tecnológicos.</w:t>
      </w:r>
    </w:p>
    <w:p w14:paraId="5FCDF623"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b/>
          <w:bCs/>
          <w:color w:val="000000"/>
          <w:sz w:val="24"/>
          <w:szCs w:val="24"/>
          <w:lang w:val="es-CO"/>
        </w:rPr>
        <w:t xml:space="preserve">Cumple </w:t>
      </w:r>
    </w:p>
    <w:p w14:paraId="3E7D974C"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lastRenderedPageBreak/>
        <w:t>3. ESTRUCTURA ORGÁNICA</w:t>
      </w:r>
    </w:p>
    <w:p w14:paraId="732214A0" w14:textId="77777777" w:rsidR="006639EA" w:rsidRPr="006639EA" w:rsidRDefault="006639EA" w:rsidP="006639EA">
      <w:pPr>
        <w:spacing w:after="160"/>
        <w:jc w:val="both"/>
        <w:rPr>
          <w:rFonts w:ascii="Arial" w:hAnsi="Arial" w:cs="Arial"/>
          <w:color w:val="000000"/>
          <w:sz w:val="24"/>
          <w:szCs w:val="24"/>
        </w:rPr>
      </w:pPr>
      <w:r w:rsidRPr="006639EA">
        <w:rPr>
          <w:rFonts w:ascii="Arial" w:hAnsi="Arial" w:cs="Arial"/>
          <w:color w:val="000000"/>
          <w:sz w:val="24"/>
          <w:szCs w:val="24"/>
        </w:rPr>
        <w:t>En este ítem se evaluó el nivel de cumplimiento de las TRD frente a los siguientes requerimientos.</w:t>
      </w:r>
    </w:p>
    <w:p w14:paraId="7D7E2C0B"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3.1 El número de TRD presentadas corresponde con el número de unidades administrativas que conforman la estructura orgánica vigente de la entidad</w:t>
      </w:r>
    </w:p>
    <w:p w14:paraId="6C6C8DD1"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No se evidencia de forma explícita la estructura orgánica de la entidad mediante organigrama, o documento equivalente, que permita identificar la totalidad de unidades administrativas que la conforman. Esta ausencia impide verificar la correspondencia entre dichas unidades y las Tablas de Retención Documental (TRD) presentadas.</w:t>
      </w:r>
    </w:p>
    <w:p w14:paraId="1B897374"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En consecuencia, no es posible establecer si el número de TRD corresponde a la estructura orgánica vigente.</w:t>
      </w:r>
    </w:p>
    <w:p w14:paraId="031EEB9B"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b/>
          <w:bCs/>
          <w:color w:val="000000"/>
          <w:sz w:val="24"/>
          <w:szCs w:val="24"/>
          <w:lang w:val="es-CO"/>
        </w:rPr>
        <w:t xml:space="preserve">No cumple </w:t>
      </w:r>
    </w:p>
    <w:p w14:paraId="54415134" w14:textId="77777777" w:rsidR="006639EA" w:rsidRPr="006639EA" w:rsidRDefault="006639EA" w:rsidP="006639EA">
      <w:pPr>
        <w:spacing w:after="160"/>
        <w:jc w:val="both"/>
        <w:rPr>
          <w:rFonts w:ascii="Arial" w:hAnsi="Arial" w:cs="Arial"/>
          <w:color w:val="000000"/>
          <w:sz w:val="24"/>
          <w:szCs w:val="24"/>
        </w:rPr>
      </w:pPr>
      <w:r w:rsidRPr="006639EA">
        <w:rPr>
          <w:rFonts w:ascii="Arial" w:hAnsi="Arial" w:cs="Arial"/>
          <w:b/>
          <w:color w:val="000000"/>
          <w:sz w:val="24"/>
          <w:szCs w:val="24"/>
        </w:rPr>
        <w:t>3.2 Las unidades administrativas a las cuales se les elaboró TRD están sustentadas por actos administrativos o los documentos equivalentes que den cuenta de su creación</w:t>
      </w:r>
      <w:r w:rsidRPr="006639EA">
        <w:rPr>
          <w:rFonts w:ascii="Arial" w:hAnsi="Arial" w:cs="Arial"/>
          <w:color w:val="000000"/>
          <w:sz w:val="24"/>
          <w:szCs w:val="24"/>
        </w:rPr>
        <w:t>.</w:t>
      </w:r>
    </w:p>
    <w:p w14:paraId="68D52510"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Aunque el reglamento interno establece instancias de funcionamiento del Concejo Municipal, no se evidencia de forma explícita la creación formal de unidades administrativas mediante actos administrativos independientes ni su correspondencia directa con las TRD presentadas.</w:t>
      </w:r>
    </w:p>
    <w:p w14:paraId="53FBBA3E"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Adicionalmente, la ausencia de una estructura orgánica formalmente documentada limita la verificación de la existencia y sustento de dichas unidades.</w:t>
      </w:r>
    </w:p>
    <w:p w14:paraId="7B24B7C8" w14:textId="77777777" w:rsidR="006639EA" w:rsidRPr="006639EA" w:rsidRDefault="006639EA" w:rsidP="006639EA">
      <w:pPr>
        <w:spacing w:after="160"/>
        <w:jc w:val="both"/>
        <w:rPr>
          <w:rFonts w:ascii="Arial" w:hAnsi="Arial" w:cs="Arial"/>
          <w:color w:val="000000"/>
          <w:sz w:val="24"/>
          <w:szCs w:val="24"/>
        </w:rPr>
      </w:pPr>
      <w:r w:rsidRPr="006639EA">
        <w:rPr>
          <w:rFonts w:ascii="Arial" w:hAnsi="Arial" w:cs="Arial"/>
          <w:b/>
          <w:bCs/>
          <w:color w:val="000000"/>
          <w:sz w:val="24"/>
          <w:szCs w:val="24"/>
        </w:rPr>
        <w:t>No cumple</w:t>
      </w:r>
      <w:r w:rsidRPr="006639EA">
        <w:rPr>
          <w:rFonts w:ascii="Arial" w:hAnsi="Arial" w:cs="Arial"/>
          <w:color w:val="000000"/>
          <w:sz w:val="24"/>
          <w:szCs w:val="24"/>
        </w:rPr>
        <w:t xml:space="preserve"> </w:t>
      </w:r>
    </w:p>
    <w:p w14:paraId="4AAB7D00"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3.3 La estructura orgánica (organigrama) de la entidad representa la totalidad de las unidades administrativas que la conforman, de acuerdo con los actos administrativos o los documentos equivalentes que dan cuenta de su creación.</w:t>
      </w:r>
    </w:p>
    <w:p w14:paraId="2FE740E4"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No se evidencia la presentación de la estructura orgánica de la entidad mediante organigrama o documento equivalente que permita identificar la totalidad de las unidades administrativas que la conforman. Esta ausencia impide verificar su correspondencia con los actos administrativos o documentos que sustenten su creación.</w:t>
      </w:r>
    </w:p>
    <w:p w14:paraId="55B14724"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El expediente no permite confirmar la representación integral de la estructura orgánica en los términos exigidos.</w:t>
      </w:r>
    </w:p>
    <w:p w14:paraId="0D030187"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b/>
          <w:bCs/>
          <w:color w:val="000000"/>
          <w:sz w:val="24"/>
          <w:szCs w:val="24"/>
          <w:lang w:val="es-CO"/>
        </w:rPr>
        <w:t>No cumple</w:t>
      </w:r>
    </w:p>
    <w:p w14:paraId="475E5C87"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lastRenderedPageBreak/>
        <w:t>3.4 La estructura orgánica (organigrama) representa exclusivamente unidades administrativas o las diferencia claramente de las que no lo son.</w:t>
      </w:r>
    </w:p>
    <w:p w14:paraId="0A1081A3" w14:textId="77777777" w:rsidR="006639EA" w:rsidRPr="006639EA" w:rsidRDefault="006639EA" w:rsidP="006639EA">
      <w:pPr>
        <w:spacing w:after="160"/>
        <w:jc w:val="both"/>
        <w:rPr>
          <w:rFonts w:ascii="Arial" w:hAnsi="Arial" w:cs="Arial"/>
          <w:color w:val="000000"/>
          <w:sz w:val="24"/>
          <w:szCs w:val="24"/>
        </w:rPr>
      </w:pPr>
      <w:r w:rsidRPr="006639EA">
        <w:rPr>
          <w:rFonts w:ascii="Arial" w:hAnsi="Arial" w:cs="Arial"/>
          <w:color w:val="000000"/>
          <w:sz w:val="24"/>
          <w:szCs w:val="24"/>
        </w:rPr>
        <w:t>La entidad, no presenta organigrama ni documento equivalente que represente la estructura orgánica, por lo que no es posible verificar si en dicha representación se diferencian claramente las unidades administrativas de otras instancias o dependencias.</w:t>
      </w:r>
    </w:p>
    <w:p w14:paraId="3649EE7B" w14:textId="77777777" w:rsidR="006639EA" w:rsidRPr="006639EA" w:rsidRDefault="006639EA" w:rsidP="006639EA">
      <w:pPr>
        <w:spacing w:after="160"/>
        <w:jc w:val="both"/>
        <w:rPr>
          <w:rFonts w:ascii="Arial" w:hAnsi="Arial" w:cs="Arial"/>
          <w:b/>
          <w:bCs/>
          <w:color w:val="000000"/>
          <w:sz w:val="24"/>
          <w:szCs w:val="24"/>
        </w:rPr>
      </w:pPr>
      <w:r w:rsidRPr="006639EA">
        <w:rPr>
          <w:rFonts w:ascii="Arial" w:hAnsi="Arial" w:cs="Arial"/>
          <w:b/>
          <w:bCs/>
          <w:color w:val="000000"/>
          <w:sz w:val="24"/>
          <w:szCs w:val="24"/>
        </w:rPr>
        <w:t xml:space="preserve">No cumple </w:t>
      </w:r>
    </w:p>
    <w:p w14:paraId="4D4EBB3A"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4. RELACIÓN SERIES – FUNCIONES</w:t>
      </w:r>
    </w:p>
    <w:p w14:paraId="6071720A" w14:textId="77777777" w:rsidR="006639EA" w:rsidRPr="006639EA" w:rsidRDefault="006639EA" w:rsidP="006639EA">
      <w:pPr>
        <w:spacing w:after="160"/>
        <w:jc w:val="both"/>
        <w:rPr>
          <w:rFonts w:ascii="Arial" w:hAnsi="Arial" w:cs="Arial"/>
          <w:color w:val="000000"/>
          <w:sz w:val="24"/>
          <w:szCs w:val="24"/>
        </w:rPr>
      </w:pPr>
      <w:r w:rsidRPr="006639EA">
        <w:rPr>
          <w:rFonts w:ascii="Arial" w:hAnsi="Arial" w:cs="Arial"/>
          <w:color w:val="000000"/>
          <w:sz w:val="24"/>
          <w:szCs w:val="24"/>
        </w:rPr>
        <w:t>En este ítem se evaluó el nivel de cumplimiento de las TRD frente a los siguientes requerimientos.</w:t>
      </w:r>
    </w:p>
    <w:p w14:paraId="7B30DEE4"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4.1. Las series y subseries documentales registradas en cada una de las TRD corresponden con las funciones de la unidad administrativa que las produce.</w:t>
      </w:r>
    </w:p>
    <w:p w14:paraId="1CE3DB4C"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No es posible verificar la correspondencia entre las funciones de las unidades administrativas y las series y subseries documentales registradas en las TRD, debido a la ausencia de una estructura orgánica formalmente documentada que permita identificar de manera clara las dependencias productoras.</w:t>
      </w:r>
    </w:p>
    <w:p w14:paraId="6C60BFDC"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Aunque el reglamento interno define funciones para algunas instancias, no se cuenta con un organigrama o estructura orgánica que permita establecer la trazabilidad entre unidad administrativa, función y producción documental.</w:t>
      </w:r>
    </w:p>
    <w:p w14:paraId="56AD3F2D"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En consecuencia, no se logra comprobar la correspondencia funcional en los términos exigidos.</w:t>
      </w:r>
    </w:p>
    <w:p w14:paraId="4F5D7CAF"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
          <w:bCs/>
          <w:color w:val="000000"/>
          <w:sz w:val="24"/>
          <w:szCs w:val="24"/>
          <w:lang w:val="es-CO"/>
        </w:rPr>
        <w:t xml:space="preserve">No cumple </w:t>
      </w:r>
    </w:p>
    <w:p w14:paraId="50852F86"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5.</w:t>
      </w:r>
      <w:r w:rsidRPr="006639EA">
        <w:rPr>
          <w:rFonts w:ascii="Arial" w:hAnsi="Arial" w:cs="Arial"/>
          <w:color w:val="000000"/>
          <w:sz w:val="24"/>
          <w:szCs w:val="24"/>
        </w:rPr>
        <w:t xml:space="preserve"> </w:t>
      </w:r>
      <w:r w:rsidRPr="006639EA">
        <w:rPr>
          <w:rFonts w:ascii="Arial" w:hAnsi="Arial" w:cs="Arial"/>
          <w:b/>
          <w:color w:val="000000"/>
          <w:sz w:val="24"/>
          <w:szCs w:val="24"/>
        </w:rPr>
        <w:t>CONFORMACIÓN DE SERIES</w:t>
      </w:r>
    </w:p>
    <w:p w14:paraId="207CFB60" w14:textId="77777777" w:rsidR="006639EA" w:rsidRPr="006639EA" w:rsidRDefault="006639EA" w:rsidP="006639EA">
      <w:pPr>
        <w:spacing w:after="160"/>
        <w:jc w:val="both"/>
        <w:rPr>
          <w:rFonts w:ascii="Arial" w:hAnsi="Arial" w:cs="Arial"/>
          <w:color w:val="000000"/>
          <w:sz w:val="24"/>
          <w:szCs w:val="24"/>
        </w:rPr>
      </w:pPr>
      <w:r w:rsidRPr="006639EA">
        <w:rPr>
          <w:rFonts w:ascii="Arial" w:hAnsi="Arial" w:cs="Arial"/>
          <w:color w:val="000000"/>
          <w:sz w:val="24"/>
          <w:szCs w:val="24"/>
        </w:rPr>
        <w:t>En este ítem se evaluó el nivel de cumplimiento de las TRD, frente a los siguientes requerimientos.</w:t>
      </w:r>
    </w:p>
    <w:p w14:paraId="75C46797" w14:textId="77777777" w:rsidR="006639EA" w:rsidRPr="006639EA" w:rsidRDefault="006639EA" w:rsidP="006639EA">
      <w:pPr>
        <w:spacing w:after="160"/>
        <w:jc w:val="both"/>
        <w:rPr>
          <w:rFonts w:ascii="Arial" w:hAnsi="Arial" w:cs="Arial"/>
          <w:color w:val="000000"/>
          <w:sz w:val="24"/>
          <w:szCs w:val="24"/>
        </w:rPr>
      </w:pPr>
      <w:r w:rsidRPr="006639EA">
        <w:rPr>
          <w:rFonts w:ascii="Arial" w:hAnsi="Arial" w:cs="Arial"/>
          <w:b/>
          <w:color w:val="000000"/>
          <w:sz w:val="24"/>
          <w:szCs w:val="24"/>
        </w:rPr>
        <w:t>5.1 Las tipologías registradas en series y subseries documentales representan la integridad de los expedientes y orden en que son gestionadas, desde el inicio de un trámite hasta su resolución definitiva, de acuerdo con los procedimientos que tiene adoptados la entidad</w:t>
      </w:r>
      <w:r w:rsidRPr="006639EA">
        <w:rPr>
          <w:rFonts w:ascii="Arial" w:hAnsi="Arial" w:cs="Arial"/>
          <w:color w:val="000000"/>
          <w:sz w:val="24"/>
          <w:szCs w:val="24"/>
        </w:rPr>
        <w:t>.</w:t>
      </w:r>
    </w:p>
    <w:p w14:paraId="0AC70445"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El instrumento, evidencia que las tipologías documentales asociadas a las series y subseries permiten identificar la secuencia de los trámites, incluyendo documentos de inicio, desarrollo y cierre, lo que refleja la conformación integral de los expedientes. Se observa la inclusión de actuaciones intermedias como autos, notificaciones, contestaciones, pruebas y decisiones finales, lo cual permite reconocer la evolución del trámite y su resolución.</w:t>
      </w:r>
    </w:p>
    <w:p w14:paraId="0FFB7AA6"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lastRenderedPageBreak/>
        <w:t>La organización de las tipologías permite inferir un orden lógico y coherente en la gestión documental.</w:t>
      </w:r>
    </w:p>
    <w:p w14:paraId="3D9CF2E5"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b/>
          <w:bCs/>
          <w:color w:val="000000"/>
          <w:sz w:val="24"/>
          <w:szCs w:val="24"/>
          <w:lang w:val="es-CO"/>
        </w:rPr>
        <w:t xml:space="preserve">Cumple </w:t>
      </w:r>
    </w:p>
    <w:p w14:paraId="491F04B2"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5.2. Los tipos documentales están correctamente denominados, es decir, están compuestos por el tipo documental + la actividad o función concerniente, por ejemplo: acta de reunión, informe de avance de ejecución del contrato.</w:t>
      </w:r>
    </w:p>
    <w:p w14:paraId="460401C5"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El instrumento, evidencia que los tipos documentales se encuentran denominados de manera adecuada, incorporando el tipo documental junto con la actuación o función asociada. Se identifican denominaciones como autos, notificaciones, contestaciones, fallos y recursos, las cuales describen de forma clara la actividad que documentan dentro del trámite.</w:t>
      </w:r>
    </w:p>
    <w:p w14:paraId="22C4CBFE"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Estas denominaciones permiten reconocer la función administrativa o jurídica a la que responden, cumpliendo con la estructura requerida para los tipos documentales.</w:t>
      </w:r>
    </w:p>
    <w:p w14:paraId="72D2988D"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b/>
          <w:bCs/>
          <w:color w:val="000000"/>
          <w:sz w:val="24"/>
          <w:szCs w:val="24"/>
          <w:lang w:val="es-CO"/>
        </w:rPr>
        <w:t xml:space="preserve">Cumple </w:t>
      </w:r>
    </w:p>
    <w:p w14:paraId="597226D3"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6. DENOMINACIÓN DE SERIES</w:t>
      </w:r>
    </w:p>
    <w:p w14:paraId="0B484D63" w14:textId="77777777" w:rsidR="006639EA" w:rsidRPr="006639EA" w:rsidRDefault="006639EA" w:rsidP="006639EA">
      <w:pPr>
        <w:spacing w:after="160"/>
        <w:jc w:val="both"/>
        <w:rPr>
          <w:rFonts w:ascii="Arial" w:hAnsi="Arial" w:cs="Arial"/>
          <w:color w:val="000000"/>
          <w:sz w:val="24"/>
          <w:szCs w:val="24"/>
        </w:rPr>
      </w:pPr>
      <w:r w:rsidRPr="006639EA">
        <w:rPr>
          <w:rFonts w:ascii="Arial" w:hAnsi="Arial" w:cs="Arial"/>
          <w:color w:val="000000"/>
          <w:sz w:val="24"/>
          <w:szCs w:val="24"/>
        </w:rPr>
        <w:t>En este ítem se evaluó el nivel de cumplimiento de las TRD, frente a los siguientes requerimientos.</w:t>
      </w:r>
    </w:p>
    <w:p w14:paraId="6FCD958B"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6.1. El nombre asignado a series y subseries representa la función y la producción documental derivada de su cumplimiento.</w:t>
      </w:r>
    </w:p>
    <w:p w14:paraId="3CEEF9BF" w14:textId="77777777" w:rsidR="006639EA" w:rsidRPr="006639EA" w:rsidRDefault="006639EA" w:rsidP="006639EA">
      <w:pPr>
        <w:jc w:val="both"/>
        <w:rPr>
          <w:rFonts w:ascii="Arial" w:hAnsi="Arial" w:cs="Arial"/>
          <w:sz w:val="24"/>
          <w:szCs w:val="24"/>
          <w:lang w:val="es-CO"/>
        </w:rPr>
      </w:pPr>
      <w:r w:rsidRPr="006639EA">
        <w:rPr>
          <w:rFonts w:ascii="Arial" w:hAnsi="Arial" w:cs="Arial"/>
          <w:sz w:val="24"/>
          <w:szCs w:val="24"/>
          <w:lang w:val="es-CO"/>
        </w:rPr>
        <w:t>El instrumento, evidencia que los nombres asignados a las series y subseries documentales corresponden a funciones y actuaciones propias de la entidad, permitiendo identificar la producción documental derivada de su cumplimiento. Se observan denominaciones que reflejan actividades administrativas y jurídicas, lo cual facilita la comprensión del origen y propósito de los documentos.</w:t>
      </w:r>
    </w:p>
    <w:p w14:paraId="36EFDECB" w14:textId="77777777" w:rsidR="006639EA" w:rsidRPr="006639EA" w:rsidRDefault="006639EA" w:rsidP="006639EA">
      <w:pPr>
        <w:jc w:val="both"/>
        <w:rPr>
          <w:rFonts w:ascii="Arial" w:hAnsi="Arial" w:cs="Arial"/>
          <w:sz w:val="24"/>
          <w:szCs w:val="24"/>
          <w:lang w:val="es-CO"/>
        </w:rPr>
      </w:pPr>
    </w:p>
    <w:p w14:paraId="2B42D363" w14:textId="77777777" w:rsidR="006639EA" w:rsidRPr="006639EA" w:rsidRDefault="006639EA" w:rsidP="006639EA">
      <w:pPr>
        <w:jc w:val="both"/>
        <w:rPr>
          <w:rFonts w:ascii="Arial" w:hAnsi="Arial" w:cs="Arial"/>
          <w:sz w:val="24"/>
          <w:szCs w:val="24"/>
          <w:lang w:val="es-CO"/>
        </w:rPr>
      </w:pPr>
      <w:r w:rsidRPr="006639EA">
        <w:rPr>
          <w:rFonts w:ascii="Arial" w:hAnsi="Arial" w:cs="Arial"/>
          <w:sz w:val="24"/>
          <w:szCs w:val="24"/>
          <w:lang w:val="es-CO"/>
        </w:rPr>
        <w:t>La denominación empleada permite establecer relación entre la función institucional y la agrupación documental.</w:t>
      </w:r>
    </w:p>
    <w:p w14:paraId="3DB434F0" w14:textId="77777777" w:rsidR="006639EA" w:rsidRPr="006639EA" w:rsidRDefault="006639EA" w:rsidP="006639EA">
      <w:pPr>
        <w:jc w:val="both"/>
        <w:rPr>
          <w:rFonts w:ascii="Arial" w:hAnsi="Arial" w:cs="Arial"/>
          <w:sz w:val="24"/>
          <w:szCs w:val="24"/>
          <w:lang w:val="es-CO"/>
        </w:rPr>
      </w:pPr>
    </w:p>
    <w:p w14:paraId="455FA8F7" w14:textId="77777777" w:rsidR="006639EA" w:rsidRPr="006639EA" w:rsidRDefault="006639EA" w:rsidP="006639EA">
      <w:pPr>
        <w:jc w:val="both"/>
        <w:rPr>
          <w:rFonts w:ascii="Arial" w:hAnsi="Arial" w:cs="Arial"/>
          <w:b/>
          <w:bCs/>
          <w:sz w:val="24"/>
          <w:szCs w:val="24"/>
          <w:lang w:val="es-CO"/>
        </w:rPr>
      </w:pPr>
      <w:r w:rsidRPr="006639EA">
        <w:rPr>
          <w:rFonts w:ascii="Arial" w:hAnsi="Arial" w:cs="Arial"/>
          <w:b/>
          <w:bCs/>
          <w:sz w:val="24"/>
          <w:szCs w:val="24"/>
          <w:lang w:val="es-CO"/>
        </w:rPr>
        <w:t xml:space="preserve">Cumple </w:t>
      </w:r>
    </w:p>
    <w:p w14:paraId="01E1D40A" w14:textId="77777777" w:rsidR="006639EA" w:rsidRPr="006639EA" w:rsidRDefault="006639EA" w:rsidP="006639EA">
      <w:pPr>
        <w:jc w:val="both"/>
        <w:rPr>
          <w:rFonts w:ascii="Arial" w:hAnsi="Arial" w:cs="Arial"/>
          <w:sz w:val="24"/>
          <w:szCs w:val="24"/>
        </w:rPr>
      </w:pPr>
    </w:p>
    <w:p w14:paraId="4F9041F9"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6.2. El nombre asignado corresponde con lo establecido en normas legales o técnicas. Ejemplo: Consecutivo de comunicaciones oficiales.</w:t>
      </w:r>
    </w:p>
    <w:p w14:paraId="6C3FCC17"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 xml:space="preserve">Las denominaciones de las series y subseries documentales se ajustan a términos reconocidos en el ámbito administrativo y archivístico, empleando nomenclaturas coherentes con el lenguaje técnico y jurídico aplicable a la función pública. No se </w:t>
      </w:r>
      <w:r w:rsidRPr="006639EA">
        <w:rPr>
          <w:rFonts w:ascii="Arial" w:hAnsi="Arial" w:cs="Arial"/>
          <w:color w:val="000000"/>
          <w:sz w:val="24"/>
          <w:szCs w:val="24"/>
          <w:lang w:val="es-CO"/>
        </w:rPr>
        <w:lastRenderedPageBreak/>
        <w:t>evidencian denominaciones ambiguas o alejadas de estándares comúnmente utilizados en la gestión documental.</w:t>
      </w:r>
    </w:p>
    <w:p w14:paraId="66858F01"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El instrumento permite identificar correspondencia con criterios técnicos en la denominación de las agrupaciones documentales.</w:t>
      </w:r>
    </w:p>
    <w:p w14:paraId="2CCC14EC"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b/>
          <w:bCs/>
          <w:color w:val="000000"/>
          <w:sz w:val="24"/>
          <w:szCs w:val="24"/>
          <w:lang w:val="es-CO"/>
        </w:rPr>
        <w:t xml:space="preserve">Cumple </w:t>
      </w:r>
    </w:p>
    <w:p w14:paraId="2C4B695E"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6.3. El nombre de las series y subseries transversales a la administración pública corresponde con los del Banco Terminológico.</w:t>
      </w:r>
    </w:p>
    <w:p w14:paraId="64160780"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El instrumento, presenta subseries documentales cuya denominación no corresponde con los términos establecidos en el Banco Terminológico (BANTER), como es el caso de Actas de Comisión Especial de Ética, la cual no se encuentra normalizada dentro de dicho referente técnico.</w:t>
      </w:r>
    </w:p>
    <w:p w14:paraId="3C2A96DC"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Así mismo, no se evidencia en la memoria descriptiva la sustentación técnica que justifique el uso de esta denominación, ni la adaptación del término conforme a la estructura definida en el Banco Terminológico.</w:t>
      </w:r>
    </w:p>
    <w:p w14:paraId="48EA5C33" w14:textId="77777777" w:rsidR="006639EA" w:rsidRPr="006639EA" w:rsidRDefault="006639EA" w:rsidP="006639EA">
      <w:pPr>
        <w:spacing w:after="160"/>
        <w:jc w:val="both"/>
        <w:rPr>
          <w:rFonts w:ascii="Arial" w:hAnsi="Arial" w:cs="Arial"/>
          <w:b/>
          <w:bCs/>
          <w:color w:val="000000"/>
          <w:sz w:val="24"/>
          <w:szCs w:val="24"/>
          <w:lang w:val="es-CO"/>
        </w:rPr>
      </w:pPr>
      <w:r w:rsidRPr="006639EA">
        <w:rPr>
          <w:rFonts w:ascii="Arial" w:hAnsi="Arial" w:cs="Arial"/>
          <w:b/>
          <w:bCs/>
          <w:color w:val="000000"/>
          <w:sz w:val="24"/>
          <w:szCs w:val="24"/>
          <w:lang w:val="es-CO"/>
        </w:rPr>
        <w:t xml:space="preserve">No cumple </w:t>
      </w:r>
    </w:p>
    <w:p w14:paraId="61DFE80B"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6.4. Las subseries documentales registradas en las TRD se relacionan con la serie de la cual se derivan. Dichas subseries se identifican en forma separada por su contenido y características específicas o por uno o varios tipos documentales diferentes producidos en acciones administrativas semejantes.</w:t>
      </w:r>
    </w:p>
    <w:p w14:paraId="65D5CDD4" w14:textId="77777777" w:rsidR="006639EA" w:rsidRPr="006639EA" w:rsidRDefault="006639EA" w:rsidP="006639EA">
      <w:pPr>
        <w:spacing w:after="160"/>
        <w:jc w:val="both"/>
        <w:rPr>
          <w:rFonts w:ascii="Arial" w:hAnsi="Arial" w:cs="Arial"/>
          <w:sz w:val="24"/>
          <w:szCs w:val="24"/>
          <w:lang w:val="es-CO"/>
        </w:rPr>
      </w:pPr>
      <w:r w:rsidRPr="006639EA">
        <w:rPr>
          <w:rFonts w:ascii="Arial" w:hAnsi="Arial" w:cs="Arial"/>
          <w:sz w:val="24"/>
          <w:szCs w:val="24"/>
          <w:lang w:val="es-CO"/>
        </w:rPr>
        <w:t>El instrumento, evidencia que las subseries documentales se encuentran asociadas a las series correspondientes, manteniendo una relación lógica y coherente derivada de la función y producción documental. Se observa que las subseries se diferencian por su contenido específico y por los tipos documentales que las conforman, lo que permite identificar agrupaciones documentales generadas en el marco de acciones administrativas semejantes.</w:t>
      </w:r>
    </w:p>
    <w:p w14:paraId="56462411" w14:textId="77777777" w:rsidR="006639EA" w:rsidRPr="006639EA" w:rsidRDefault="006639EA" w:rsidP="006639EA">
      <w:pPr>
        <w:spacing w:after="160"/>
        <w:jc w:val="both"/>
        <w:rPr>
          <w:rFonts w:ascii="Arial" w:hAnsi="Arial" w:cs="Arial"/>
          <w:sz w:val="24"/>
          <w:szCs w:val="24"/>
          <w:lang w:val="es-CO"/>
        </w:rPr>
      </w:pPr>
      <w:r w:rsidRPr="006639EA">
        <w:rPr>
          <w:rFonts w:ascii="Arial" w:hAnsi="Arial" w:cs="Arial"/>
          <w:sz w:val="24"/>
          <w:szCs w:val="24"/>
          <w:lang w:val="es-CO"/>
        </w:rPr>
        <w:t>La estructura presentada permite reconocer la derivación entre serie y subserie, así como su diferenciación funcional y documental.</w:t>
      </w:r>
    </w:p>
    <w:p w14:paraId="5BE28926" w14:textId="77777777" w:rsidR="006639EA" w:rsidRPr="006639EA" w:rsidRDefault="006639EA" w:rsidP="006639EA">
      <w:pPr>
        <w:spacing w:after="160"/>
        <w:jc w:val="both"/>
        <w:rPr>
          <w:rFonts w:ascii="Arial" w:hAnsi="Arial" w:cs="Arial"/>
          <w:sz w:val="24"/>
          <w:szCs w:val="24"/>
          <w:lang w:val="es-CO"/>
        </w:rPr>
      </w:pPr>
      <w:r w:rsidRPr="006639EA">
        <w:rPr>
          <w:rFonts w:ascii="Arial" w:hAnsi="Arial" w:cs="Arial"/>
          <w:b/>
          <w:bCs/>
          <w:sz w:val="24"/>
          <w:szCs w:val="24"/>
          <w:lang w:val="es-CO"/>
        </w:rPr>
        <w:t xml:space="preserve">Cumple </w:t>
      </w:r>
    </w:p>
    <w:p w14:paraId="1CB46301"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7. CODIFICACIÓN</w:t>
      </w:r>
    </w:p>
    <w:p w14:paraId="4F46DBEE" w14:textId="77777777" w:rsidR="006639EA" w:rsidRPr="006639EA" w:rsidRDefault="006639EA" w:rsidP="006639EA">
      <w:pPr>
        <w:spacing w:after="160"/>
        <w:jc w:val="both"/>
        <w:rPr>
          <w:rFonts w:ascii="Arial" w:hAnsi="Arial" w:cs="Arial"/>
          <w:color w:val="000000"/>
          <w:sz w:val="24"/>
          <w:szCs w:val="24"/>
        </w:rPr>
      </w:pPr>
      <w:r w:rsidRPr="006639EA">
        <w:rPr>
          <w:rFonts w:ascii="Arial" w:hAnsi="Arial" w:cs="Arial"/>
          <w:color w:val="000000"/>
          <w:sz w:val="24"/>
          <w:szCs w:val="24"/>
        </w:rPr>
        <w:t>En este ítem se evaluó el nivel de cumplimiento de las TRD de la Entidad, frente a los siguientes requerimientos.</w:t>
      </w:r>
    </w:p>
    <w:p w14:paraId="6C7006A2"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7.1. Existe correspondencia entre las series y subseries registradas en CCD y TRD (procedencia, denominación y codificación).</w:t>
      </w:r>
    </w:p>
    <w:p w14:paraId="20BB7881" w14:textId="77777777" w:rsidR="006639EA" w:rsidRPr="006639EA" w:rsidRDefault="006639EA" w:rsidP="006639EA">
      <w:pPr>
        <w:jc w:val="both"/>
        <w:rPr>
          <w:rFonts w:ascii="Arial" w:hAnsi="Arial" w:cs="Arial"/>
          <w:sz w:val="24"/>
          <w:szCs w:val="24"/>
          <w:lang w:val="es-CO"/>
        </w:rPr>
      </w:pPr>
      <w:r w:rsidRPr="006639EA">
        <w:rPr>
          <w:rFonts w:ascii="Arial" w:hAnsi="Arial" w:cs="Arial"/>
          <w:sz w:val="24"/>
          <w:szCs w:val="24"/>
          <w:lang w:val="es-CO"/>
        </w:rPr>
        <w:t xml:space="preserve">Se evidencia correspondencia entre las series y subseries documentales registradas en el Cuadro de Clasificación Documental (CCD) y las Tablas de </w:t>
      </w:r>
      <w:r w:rsidRPr="006639EA">
        <w:rPr>
          <w:rFonts w:ascii="Arial" w:hAnsi="Arial" w:cs="Arial"/>
          <w:sz w:val="24"/>
          <w:szCs w:val="24"/>
          <w:lang w:val="es-CO"/>
        </w:rPr>
        <w:lastRenderedPageBreak/>
        <w:t>Retención Documental (TRD), en términos de procedencia, denominación y codificación. Las agrupaciones documentales coinciden en ambos instrumentos, manteniendo la misma estructura, nombres y códigos, así como su asociación con las unidades productoras correspondientes.</w:t>
      </w:r>
    </w:p>
    <w:p w14:paraId="530AA5E2" w14:textId="77777777" w:rsidR="006639EA" w:rsidRPr="006639EA" w:rsidRDefault="006639EA" w:rsidP="006639EA">
      <w:pPr>
        <w:jc w:val="both"/>
        <w:rPr>
          <w:rFonts w:ascii="Arial" w:hAnsi="Arial" w:cs="Arial"/>
          <w:sz w:val="24"/>
          <w:szCs w:val="24"/>
          <w:lang w:val="es-CO"/>
        </w:rPr>
      </w:pPr>
    </w:p>
    <w:p w14:paraId="5A8AB1B5" w14:textId="77777777" w:rsidR="006639EA" w:rsidRPr="006639EA" w:rsidRDefault="006639EA" w:rsidP="006639EA">
      <w:pPr>
        <w:jc w:val="both"/>
        <w:rPr>
          <w:rFonts w:ascii="Arial" w:hAnsi="Arial" w:cs="Arial"/>
          <w:sz w:val="24"/>
          <w:szCs w:val="24"/>
          <w:lang w:val="es-CO"/>
        </w:rPr>
      </w:pPr>
      <w:r w:rsidRPr="006639EA">
        <w:rPr>
          <w:rFonts w:ascii="Arial" w:hAnsi="Arial" w:cs="Arial"/>
          <w:sz w:val="24"/>
          <w:szCs w:val="24"/>
          <w:lang w:val="es-CO"/>
        </w:rPr>
        <w:t>Esta correspondencia permite garantizar la coherencia entre los instrumentos archivísticos</w:t>
      </w:r>
    </w:p>
    <w:p w14:paraId="15D04818" w14:textId="77777777" w:rsidR="006639EA" w:rsidRPr="006639EA" w:rsidRDefault="006639EA" w:rsidP="006639EA">
      <w:pPr>
        <w:jc w:val="both"/>
        <w:rPr>
          <w:rFonts w:ascii="Arial" w:hAnsi="Arial" w:cs="Arial"/>
          <w:sz w:val="24"/>
          <w:szCs w:val="24"/>
          <w:lang w:val="es-CO"/>
        </w:rPr>
      </w:pPr>
    </w:p>
    <w:p w14:paraId="726A844D" w14:textId="77777777" w:rsidR="006639EA" w:rsidRPr="006639EA" w:rsidRDefault="006639EA" w:rsidP="006639EA">
      <w:pPr>
        <w:jc w:val="both"/>
        <w:rPr>
          <w:rFonts w:ascii="Arial" w:hAnsi="Arial" w:cs="Arial"/>
          <w:b/>
          <w:bCs/>
          <w:sz w:val="24"/>
          <w:szCs w:val="24"/>
          <w:lang w:val="es-CO"/>
        </w:rPr>
      </w:pPr>
      <w:r w:rsidRPr="006639EA">
        <w:rPr>
          <w:rFonts w:ascii="Arial" w:hAnsi="Arial" w:cs="Arial"/>
          <w:b/>
          <w:bCs/>
          <w:sz w:val="24"/>
          <w:szCs w:val="24"/>
          <w:lang w:val="es-CO"/>
        </w:rPr>
        <w:t>Cumple</w:t>
      </w:r>
    </w:p>
    <w:p w14:paraId="7B627807" w14:textId="77777777" w:rsidR="006639EA" w:rsidRPr="006639EA" w:rsidRDefault="006639EA" w:rsidP="006639EA">
      <w:pPr>
        <w:jc w:val="both"/>
        <w:rPr>
          <w:rFonts w:ascii="Arial" w:hAnsi="Arial" w:cs="Arial"/>
          <w:color w:val="000000"/>
          <w:sz w:val="24"/>
          <w:szCs w:val="24"/>
          <w:highlight w:val="yellow"/>
        </w:rPr>
      </w:pPr>
    </w:p>
    <w:p w14:paraId="0BA3A0B4"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 xml:space="preserve">7.2. La codificación registrada en las TRD y en el CCD representa la jerarquía de las oficinas productoras. </w:t>
      </w:r>
    </w:p>
    <w:p w14:paraId="1F58CC1F" w14:textId="77777777" w:rsidR="006639EA" w:rsidRPr="006639EA" w:rsidRDefault="006639EA" w:rsidP="006639EA">
      <w:pPr>
        <w:jc w:val="both"/>
        <w:rPr>
          <w:rFonts w:ascii="Arial" w:hAnsi="Arial" w:cs="Arial"/>
          <w:sz w:val="24"/>
          <w:szCs w:val="24"/>
          <w:lang w:val="es-CO"/>
        </w:rPr>
      </w:pPr>
      <w:r w:rsidRPr="006639EA">
        <w:rPr>
          <w:rFonts w:ascii="Arial" w:hAnsi="Arial" w:cs="Arial"/>
          <w:sz w:val="24"/>
          <w:szCs w:val="24"/>
          <w:lang w:val="es-CO"/>
        </w:rPr>
        <w:t>No se evidencia de forma explícita que la codificación utilizada en las TRD y en el CCD represente la jerarquía de las oficinas productoras, debido a la ausencia de una estructura orgánica formalmente documentada que permita identificar los niveles jerárquicos de la entidad.</w:t>
      </w:r>
    </w:p>
    <w:p w14:paraId="2C9B739D" w14:textId="77777777" w:rsidR="006639EA" w:rsidRPr="006639EA" w:rsidRDefault="006639EA" w:rsidP="006639EA">
      <w:pPr>
        <w:jc w:val="both"/>
        <w:rPr>
          <w:rFonts w:ascii="Arial" w:hAnsi="Arial" w:cs="Arial"/>
          <w:sz w:val="24"/>
          <w:szCs w:val="24"/>
          <w:lang w:val="es-CO"/>
        </w:rPr>
      </w:pPr>
    </w:p>
    <w:p w14:paraId="62AF2A45" w14:textId="77777777" w:rsidR="006639EA" w:rsidRPr="006639EA" w:rsidRDefault="006639EA" w:rsidP="006639EA">
      <w:pPr>
        <w:jc w:val="both"/>
        <w:rPr>
          <w:rFonts w:ascii="Arial" w:hAnsi="Arial" w:cs="Arial"/>
          <w:sz w:val="24"/>
          <w:szCs w:val="24"/>
          <w:lang w:val="es-CO"/>
        </w:rPr>
      </w:pPr>
      <w:r w:rsidRPr="006639EA">
        <w:rPr>
          <w:rFonts w:ascii="Arial" w:hAnsi="Arial" w:cs="Arial"/>
          <w:sz w:val="24"/>
          <w:szCs w:val="24"/>
          <w:lang w:val="es-CO"/>
        </w:rPr>
        <w:t>Esta situación, impide verificar la correspondencia entre la codificación y la estructura administrativa.</w:t>
      </w:r>
    </w:p>
    <w:p w14:paraId="74F589E8" w14:textId="77777777" w:rsidR="006639EA" w:rsidRPr="006639EA" w:rsidRDefault="006639EA" w:rsidP="006639EA">
      <w:pPr>
        <w:jc w:val="both"/>
        <w:rPr>
          <w:rFonts w:ascii="Arial" w:hAnsi="Arial" w:cs="Arial"/>
          <w:sz w:val="24"/>
          <w:szCs w:val="24"/>
          <w:lang w:val="es-CO"/>
        </w:rPr>
      </w:pPr>
    </w:p>
    <w:p w14:paraId="0AB87841" w14:textId="77777777" w:rsidR="006639EA" w:rsidRPr="006639EA" w:rsidRDefault="006639EA" w:rsidP="006639EA">
      <w:pPr>
        <w:jc w:val="both"/>
        <w:rPr>
          <w:rFonts w:ascii="Arial" w:hAnsi="Arial" w:cs="Arial"/>
          <w:sz w:val="24"/>
          <w:szCs w:val="24"/>
          <w:lang w:val="es-CO"/>
        </w:rPr>
      </w:pPr>
      <w:r w:rsidRPr="006639EA">
        <w:rPr>
          <w:rFonts w:ascii="Arial" w:hAnsi="Arial" w:cs="Arial"/>
          <w:b/>
          <w:bCs/>
          <w:sz w:val="24"/>
          <w:szCs w:val="24"/>
          <w:lang w:val="es-CO"/>
        </w:rPr>
        <w:t>No cumple</w:t>
      </w:r>
    </w:p>
    <w:p w14:paraId="61EA0989" w14:textId="77777777" w:rsidR="006639EA" w:rsidRPr="006639EA" w:rsidRDefault="006639EA" w:rsidP="006639EA">
      <w:pPr>
        <w:jc w:val="both"/>
        <w:rPr>
          <w:rFonts w:ascii="Arial" w:hAnsi="Arial" w:cs="Arial"/>
          <w:b/>
          <w:sz w:val="24"/>
          <w:szCs w:val="24"/>
          <w:highlight w:val="yellow"/>
        </w:rPr>
      </w:pPr>
    </w:p>
    <w:p w14:paraId="6A7CC840"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7.3. La codificación de las series y subseries representa un orden lógico.</w:t>
      </w:r>
    </w:p>
    <w:p w14:paraId="501B2647" w14:textId="77777777" w:rsidR="006639EA" w:rsidRPr="006639EA" w:rsidRDefault="006639EA" w:rsidP="006639EA">
      <w:pPr>
        <w:jc w:val="both"/>
        <w:rPr>
          <w:rFonts w:ascii="Arial" w:hAnsi="Arial" w:cs="Arial"/>
          <w:bCs/>
          <w:sz w:val="24"/>
          <w:szCs w:val="24"/>
          <w:lang w:val="es-CO"/>
        </w:rPr>
      </w:pPr>
      <w:r w:rsidRPr="006639EA">
        <w:rPr>
          <w:rFonts w:ascii="Arial" w:hAnsi="Arial" w:cs="Arial"/>
          <w:bCs/>
          <w:sz w:val="24"/>
          <w:szCs w:val="24"/>
          <w:lang w:val="es-CO"/>
        </w:rPr>
        <w:t>El instrumento, evidencia la utilización de una codificación que permite organizar las series y subseries documentales en una secuencia estructurada, facilitando su identificación y ubicación dentro del sistema de clasificación documental. La codificación empleada presenta coherencia interna y responde a un orden lógico en la agrupación de los documentos.</w:t>
      </w:r>
    </w:p>
    <w:p w14:paraId="3C984244" w14:textId="77777777" w:rsidR="006639EA" w:rsidRPr="006639EA" w:rsidRDefault="006639EA" w:rsidP="006639EA">
      <w:pPr>
        <w:jc w:val="both"/>
        <w:rPr>
          <w:rFonts w:ascii="Arial" w:hAnsi="Arial" w:cs="Arial"/>
          <w:b/>
          <w:bCs/>
          <w:sz w:val="24"/>
          <w:szCs w:val="24"/>
          <w:lang w:val="es-CO"/>
        </w:rPr>
      </w:pPr>
    </w:p>
    <w:p w14:paraId="383307B1" w14:textId="77777777" w:rsidR="006639EA" w:rsidRPr="006639EA" w:rsidRDefault="006639EA" w:rsidP="006639EA">
      <w:pPr>
        <w:jc w:val="both"/>
        <w:rPr>
          <w:rFonts w:ascii="Arial" w:hAnsi="Arial" w:cs="Arial"/>
          <w:bCs/>
          <w:sz w:val="24"/>
          <w:szCs w:val="24"/>
          <w:lang w:val="es-CO"/>
        </w:rPr>
      </w:pPr>
      <w:r w:rsidRPr="006639EA">
        <w:rPr>
          <w:rFonts w:ascii="Arial" w:hAnsi="Arial" w:cs="Arial"/>
          <w:b/>
          <w:bCs/>
          <w:sz w:val="24"/>
          <w:szCs w:val="24"/>
          <w:lang w:val="es-CO"/>
        </w:rPr>
        <w:t xml:space="preserve">Cumple </w:t>
      </w:r>
    </w:p>
    <w:p w14:paraId="18BAD4BD" w14:textId="77777777" w:rsidR="006639EA" w:rsidRPr="006639EA" w:rsidRDefault="006639EA" w:rsidP="006639EA">
      <w:pPr>
        <w:jc w:val="both"/>
        <w:rPr>
          <w:rFonts w:ascii="Arial" w:hAnsi="Arial" w:cs="Arial"/>
          <w:b/>
          <w:sz w:val="24"/>
          <w:szCs w:val="24"/>
          <w:highlight w:val="yellow"/>
        </w:rPr>
      </w:pPr>
    </w:p>
    <w:p w14:paraId="52801C6B"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8. TIEMPOS DE RETENCIÓN</w:t>
      </w:r>
    </w:p>
    <w:p w14:paraId="17CF12D5" w14:textId="77777777" w:rsidR="006639EA" w:rsidRPr="006639EA" w:rsidRDefault="006639EA" w:rsidP="006639EA">
      <w:pPr>
        <w:spacing w:after="160"/>
        <w:jc w:val="both"/>
        <w:rPr>
          <w:rFonts w:ascii="Arial" w:hAnsi="Arial" w:cs="Arial"/>
          <w:color w:val="000000"/>
          <w:sz w:val="24"/>
          <w:szCs w:val="24"/>
        </w:rPr>
      </w:pPr>
      <w:r w:rsidRPr="006639EA">
        <w:rPr>
          <w:rFonts w:ascii="Arial" w:hAnsi="Arial" w:cs="Arial"/>
          <w:color w:val="000000"/>
          <w:sz w:val="24"/>
          <w:szCs w:val="24"/>
        </w:rPr>
        <w:t>En este ítem se evaluó el nivel de cumplimiento de las TRD frente a los siguientes requerimientos.</w:t>
      </w:r>
    </w:p>
    <w:p w14:paraId="7E1246AC"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8.1. Los tiempos de retención asignados concuerdan con los criterios de valoración primaria establecidos en la Memoria descriptiva.</w:t>
      </w:r>
    </w:p>
    <w:p w14:paraId="1E2E37C3" w14:textId="77777777" w:rsidR="006639EA" w:rsidRPr="006639EA" w:rsidRDefault="006639EA" w:rsidP="006639EA">
      <w:pPr>
        <w:jc w:val="both"/>
        <w:rPr>
          <w:rFonts w:ascii="Arial" w:hAnsi="Arial" w:cs="Arial"/>
          <w:sz w:val="24"/>
          <w:szCs w:val="24"/>
          <w:lang w:val="es-CO"/>
        </w:rPr>
      </w:pPr>
      <w:r w:rsidRPr="006639EA">
        <w:rPr>
          <w:rFonts w:ascii="Arial" w:hAnsi="Arial" w:cs="Arial"/>
          <w:sz w:val="24"/>
          <w:szCs w:val="24"/>
          <w:lang w:val="es-CO"/>
        </w:rPr>
        <w:t xml:space="preserve">La memoria descriptiva establece criterios de valoración primaria, incluyendo valores administrativos, contables, legales y fiscales, los cuales son definidos dentro del documento. Así mismo, se presenta una tabla en la que se relacionan las series documentales con dichos criterios de valoración, lo que permite evidenciar su </w:t>
      </w:r>
      <w:r w:rsidRPr="006639EA">
        <w:rPr>
          <w:rFonts w:ascii="Arial" w:hAnsi="Arial" w:cs="Arial"/>
          <w:sz w:val="24"/>
          <w:szCs w:val="24"/>
          <w:lang w:val="es-CO"/>
        </w:rPr>
        <w:lastRenderedPageBreak/>
        <w:t>aplicación en la determinación de los tiempos de retención establecidos en las Tablas de Retención Documental (TRD).</w:t>
      </w:r>
    </w:p>
    <w:p w14:paraId="6E1DF04E" w14:textId="77777777" w:rsidR="006639EA" w:rsidRPr="006639EA" w:rsidRDefault="006639EA" w:rsidP="006639EA">
      <w:pPr>
        <w:jc w:val="both"/>
        <w:rPr>
          <w:rFonts w:ascii="Arial" w:hAnsi="Arial" w:cs="Arial"/>
          <w:sz w:val="24"/>
          <w:szCs w:val="24"/>
          <w:lang w:val="es-CO"/>
        </w:rPr>
      </w:pPr>
    </w:p>
    <w:p w14:paraId="0D98D095" w14:textId="77777777" w:rsidR="006639EA" w:rsidRPr="006639EA" w:rsidRDefault="006639EA" w:rsidP="006639EA">
      <w:pPr>
        <w:jc w:val="both"/>
        <w:rPr>
          <w:rFonts w:ascii="Arial" w:hAnsi="Arial" w:cs="Arial"/>
          <w:sz w:val="24"/>
          <w:szCs w:val="24"/>
          <w:lang w:val="es-CO"/>
        </w:rPr>
      </w:pPr>
      <w:r w:rsidRPr="006639EA">
        <w:rPr>
          <w:rFonts w:ascii="Arial" w:hAnsi="Arial" w:cs="Arial"/>
          <w:sz w:val="24"/>
          <w:szCs w:val="24"/>
          <w:lang w:val="es-CO"/>
        </w:rPr>
        <w:t>Se identifica correspondencia entre los criterios de valoración primaria y los tiempos de retención asignados.</w:t>
      </w:r>
    </w:p>
    <w:p w14:paraId="3A869B80" w14:textId="77777777" w:rsidR="006639EA" w:rsidRPr="006639EA" w:rsidRDefault="006639EA" w:rsidP="006639EA">
      <w:pPr>
        <w:jc w:val="both"/>
        <w:rPr>
          <w:rFonts w:ascii="Arial" w:hAnsi="Arial" w:cs="Arial"/>
          <w:sz w:val="24"/>
          <w:szCs w:val="24"/>
          <w:lang w:val="es-CO"/>
        </w:rPr>
      </w:pPr>
    </w:p>
    <w:p w14:paraId="59086041" w14:textId="77777777" w:rsidR="006639EA" w:rsidRPr="006639EA" w:rsidRDefault="006639EA" w:rsidP="006639EA">
      <w:pPr>
        <w:jc w:val="both"/>
        <w:rPr>
          <w:rFonts w:ascii="Arial" w:hAnsi="Arial" w:cs="Arial"/>
          <w:sz w:val="24"/>
          <w:szCs w:val="24"/>
          <w:lang w:val="es-CO"/>
        </w:rPr>
      </w:pPr>
      <w:r w:rsidRPr="006639EA">
        <w:rPr>
          <w:rFonts w:ascii="Arial" w:hAnsi="Arial" w:cs="Arial"/>
          <w:b/>
          <w:bCs/>
          <w:sz w:val="24"/>
          <w:szCs w:val="24"/>
          <w:lang w:val="es-CO"/>
        </w:rPr>
        <w:t xml:space="preserve">Cumple </w:t>
      </w:r>
    </w:p>
    <w:p w14:paraId="316186E4" w14:textId="77777777" w:rsidR="006639EA" w:rsidRPr="006639EA" w:rsidRDefault="006639EA" w:rsidP="006639EA">
      <w:pPr>
        <w:jc w:val="both"/>
        <w:rPr>
          <w:rFonts w:ascii="Arial" w:hAnsi="Arial" w:cs="Arial"/>
          <w:b/>
          <w:sz w:val="24"/>
          <w:szCs w:val="24"/>
          <w:highlight w:val="yellow"/>
        </w:rPr>
      </w:pPr>
    </w:p>
    <w:p w14:paraId="0580942D"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8.2. Se asignan tiempos de retención a la totalidad de las series y subseries documentales registradas en las TRD.</w:t>
      </w:r>
    </w:p>
    <w:p w14:paraId="30C1306E"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El instrumento, evidencia la asignación de tiempos de retención para la totalidad de las series y subseries documentales registradas en las Tablas de Retención Documental (TRD), lo que permite identificar claramente los periodos de permanencia en las diferentes fases del archivo.</w:t>
      </w:r>
    </w:p>
    <w:p w14:paraId="7E6BBAA2"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Se garantiza la cobertura total de las agrupaciones documentales en cuanto a la definición de tiempos de retención.</w:t>
      </w:r>
    </w:p>
    <w:p w14:paraId="05E3CE6B"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b/>
          <w:bCs/>
          <w:color w:val="000000"/>
          <w:sz w:val="24"/>
          <w:szCs w:val="24"/>
          <w:lang w:val="es-CO"/>
        </w:rPr>
        <w:t xml:space="preserve">Cumple </w:t>
      </w:r>
    </w:p>
    <w:p w14:paraId="0F729233"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8.3. Los tiempos de retención asignados a las series y subseries documentales contemplan los términos de reserva legal, caducidad y prescripción de las acciones legales que recaen sobre los documentos, así como los tiempos mínimos de conservación que se encuentran en normas vigentes.</w:t>
      </w:r>
    </w:p>
    <w:p w14:paraId="395F7243" w14:textId="77777777" w:rsidR="006639EA" w:rsidRPr="006639EA" w:rsidRDefault="006639EA" w:rsidP="006639EA">
      <w:pPr>
        <w:spacing w:after="160"/>
        <w:jc w:val="both"/>
        <w:rPr>
          <w:rFonts w:ascii="Arial" w:hAnsi="Arial" w:cs="Arial"/>
          <w:sz w:val="24"/>
          <w:szCs w:val="24"/>
          <w:lang w:val="es-CO"/>
        </w:rPr>
      </w:pPr>
      <w:r w:rsidRPr="006639EA">
        <w:rPr>
          <w:rFonts w:ascii="Arial" w:hAnsi="Arial" w:cs="Arial"/>
          <w:sz w:val="24"/>
          <w:szCs w:val="24"/>
          <w:lang w:val="es-CO"/>
        </w:rPr>
        <w:t>El instrumento, evidencia la consideración de aspectos relacionados con el valor legal de los documentos en la definición de los tiempos de retención, como se observa en series documentales donde se asignan tiempos asociados a la vigencia administrativa de la información.</w:t>
      </w:r>
    </w:p>
    <w:p w14:paraId="1DAF55F9" w14:textId="77777777" w:rsidR="006639EA" w:rsidRPr="006639EA" w:rsidRDefault="006639EA" w:rsidP="006639EA">
      <w:pPr>
        <w:spacing w:after="160"/>
        <w:jc w:val="both"/>
        <w:rPr>
          <w:rFonts w:ascii="Arial" w:hAnsi="Arial" w:cs="Arial"/>
          <w:sz w:val="24"/>
          <w:szCs w:val="24"/>
          <w:lang w:val="es-CO"/>
        </w:rPr>
      </w:pPr>
      <w:r w:rsidRPr="006639EA">
        <w:rPr>
          <w:rFonts w:ascii="Arial" w:hAnsi="Arial" w:cs="Arial"/>
          <w:sz w:val="24"/>
          <w:szCs w:val="24"/>
          <w:lang w:val="es-CO"/>
        </w:rPr>
        <w:t>No obstante, no se evidencia en la memoria descriptiva la sustentación normativa que relacione de manera explícita dichos tiempos con términos de reserva legal, caducidad o prescripción de las acciones legales, ni con los tiempos mínimos de conservación establecidos en normas vigentes.</w:t>
      </w:r>
    </w:p>
    <w:p w14:paraId="6A81FEEE" w14:textId="77777777" w:rsidR="006639EA" w:rsidRPr="006639EA" w:rsidRDefault="006639EA" w:rsidP="006639EA">
      <w:pPr>
        <w:spacing w:after="160"/>
        <w:jc w:val="both"/>
        <w:rPr>
          <w:rFonts w:ascii="Arial" w:hAnsi="Arial" w:cs="Arial"/>
          <w:sz w:val="24"/>
          <w:szCs w:val="24"/>
          <w:lang w:val="es-CO"/>
        </w:rPr>
      </w:pPr>
      <w:r w:rsidRPr="006639EA">
        <w:rPr>
          <w:rFonts w:ascii="Arial" w:hAnsi="Arial" w:cs="Arial"/>
          <w:sz w:val="24"/>
          <w:szCs w:val="24"/>
          <w:lang w:val="es-CO"/>
        </w:rPr>
        <w:t>La justificación de los tiempos se presenta de manera general, sin soporte normativo claro que permita verificar su fundamento jurídico.</w:t>
      </w:r>
    </w:p>
    <w:p w14:paraId="181DE99F" w14:textId="77777777" w:rsidR="006639EA" w:rsidRPr="006639EA" w:rsidRDefault="006639EA" w:rsidP="006639EA">
      <w:pPr>
        <w:spacing w:after="160"/>
        <w:jc w:val="both"/>
        <w:rPr>
          <w:rFonts w:ascii="Arial" w:hAnsi="Arial" w:cs="Arial"/>
          <w:sz w:val="24"/>
          <w:szCs w:val="24"/>
          <w:lang w:val="es-CO"/>
        </w:rPr>
      </w:pPr>
      <w:r w:rsidRPr="006639EA">
        <w:rPr>
          <w:rFonts w:ascii="Arial" w:hAnsi="Arial" w:cs="Arial"/>
          <w:b/>
          <w:bCs/>
          <w:sz w:val="24"/>
          <w:szCs w:val="24"/>
          <w:lang w:val="es-CO"/>
        </w:rPr>
        <w:t xml:space="preserve">Cumple parcialmente </w:t>
      </w:r>
    </w:p>
    <w:p w14:paraId="4E984796"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8.4. En la casilla de procedimiento de las TRD se referencian las normas vigentes que contribuyeron a establecer los tiempos de retención asignados a series y subseries.</w:t>
      </w:r>
    </w:p>
    <w:p w14:paraId="42FF22A1"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lastRenderedPageBreak/>
        <w:t>El Concejo Municipal de Cachipay, evidencia en la casilla de procedimiento de las TRD la referencia a normas vigentes que sustentan la asignación de los tiempos de retención. Se identifican disposiciones normativas específicas, como la Ley 80 de 1993 en relación con la prescripción de las acciones contractuales, así como lineamientos del Archivo General de la Nación, incluyendo el Acuerdo 001 de 2024 y otras disposiciones técnicas aplicables al proceso de gestión documental.</w:t>
      </w:r>
    </w:p>
    <w:p w14:paraId="50E04BDC"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Estas referencias permiten evidenciar la fundamentación jurídica de los tiempos de retención establecidos para las series y subseries documentales.</w:t>
      </w:r>
    </w:p>
    <w:p w14:paraId="47CB1ACD"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
          <w:bCs/>
          <w:color w:val="000000"/>
          <w:sz w:val="24"/>
          <w:szCs w:val="24"/>
          <w:lang w:val="es-CO"/>
        </w:rPr>
        <w:t xml:space="preserve">Cumple </w:t>
      </w:r>
    </w:p>
    <w:p w14:paraId="55D0092E"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8.5. En los casos en que no exista norma, los tiempos de retención son suficientes para responder a solicitudes de autoridades administrativas y judiciales, así como a los usuarios o clientes, trabajadores y ex trabajadores de la entidad.</w:t>
      </w:r>
    </w:p>
    <w:p w14:paraId="28FD1A54"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El instrumento, evidencia la asignación de tiempos de retención para las series y subseries documentales, los cuales responden a necesidades administrativas y legales de la entidad. Sin embargo, no se identifica de forma explícita en la memoria descriptiva una justificación que sustente que dichos tiempos son suficientes para atender requerimientos de autoridades administrativas y judiciales, ni para garantizar la atención de solicitudes de usuarios, trabajadores o ex trabajadores.</w:t>
      </w:r>
    </w:p>
    <w:p w14:paraId="10E7E295"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La suficiencia de los tiempos se infiere a partir de la práctica administrativa, pero no se encuentra debidamente argumentada en el documento.</w:t>
      </w:r>
    </w:p>
    <w:p w14:paraId="2AEC2E58"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
          <w:bCs/>
          <w:color w:val="000000"/>
          <w:sz w:val="24"/>
          <w:szCs w:val="24"/>
          <w:lang w:val="es-CO"/>
        </w:rPr>
        <w:t>Cumple parcialmente</w:t>
      </w:r>
    </w:p>
    <w:p w14:paraId="41BAB2FF"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8.6. Los tiempos de retención se registran en años.</w:t>
      </w:r>
    </w:p>
    <w:p w14:paraId="3271AFFD"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El instrumento evidencia que los tiempos de retención asignados a las series y subseries documentales se encuentran expresados en años, lo que permite una adecuada comprensión y aplicación de los periodos de permanencia en las diferentes fases del archivo.</w:t>
      </w:r>
    </w:p>
    <w:p w14:paraId="4E793E19"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b/>
          <w:bCs/>
          <w:color w:val="000000"/>
          <w:sz w:val="24"/>
          <w:szCs w:val="24"/>
          <w:lang w:val="es-CO"/>
        </w:rPr>
        <w:t xml:space="preserve">Cumple </w:t>
      </w:r>
    </w:p>
    <w:p w14:paraId="1C501FF9"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8.7 En la casilla de procedimiento de las TRD se indica a partir de qué hecho (terminación de la vigencia del documento principal) se empiezan a contar los tiempos de retención documental.</w:t>
      </w:r>
    </w:p>
    <w:p w14:paraId="48E75398"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El instrumento, evidencia que en la casilla de procedimiento de las TRD se establece el hecho a partir del cual se inicia el conteo de los tiempos de retención, como se observa en la indicación de eventos como la culminación de la vigencia administrativa, la suscripción del acta de terminación o liquidación, y el vencimiento de garantías contractuales.</w:t>
      </w:r>
    </w:p>
    <w:p w14:paraId="6D7EDAA3"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lastRenderedPageBreak/>
        <w:t>Estas referencias permiten identificar con claridad el momento a partir del cual se inicia el cómputo de los tiempos de retención documental.</w:t>
      </w:r>
    </w:p>
    <w:p w14:paraId="3696990D" w14:textId="77777777" w:rsidR="006639EA" w:rsidRPr="006639EA" w:rsidRDefault="006639EA" w:rsidP="006639EA">
      <w:pPr>
        <w:spacing w:after="160"/>
        <w:jc w:val="both"/>
        <w:rPr>
          <w:rFonts w:ascii="Arial" w:hAnsi="Arial" w:cs="Arial"/>
          <w:b/>
          <w:bCs/>
          <w:color w:val="000000"/>
          <w:sz w:val="24"/>
          <w:szCs w:val="24"/>
          <w:lang w:val="es-CO"/>
        </w:rPr>
      </w:pPr>
      <w:r w:rsidRPr="006639EA">
        <w:rPr>
          <w:rFonts w:ascii="Arial" w:hAnsi="Arial" w:cs="Arial"/>
          <w:b/>
          <w:bCs/>
          <w:color w:val="000000"/>
          <w:sz w:val="24"/>
          <w:szCs w:val="24"/>
          <w:lang w:val="es-CO"/>
        </w:rPr>
        <w:t xml:space="preserve">Cumple </w:t>
      </w:r>
    </w:p>
    <w:p w14:paraId="7496ABC7"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9. DISPOSICIÓN FINAL</w:t>
      </w:r>
    </w:p>
    <w:p w14:paraId="5348F05F" w14:textId="77777777" w:rsidR="006639EA" w:rsidRPr="006639EA" w:rsidRDefault="006639EA" w:rsidP="006639EA">
      <w:pPr>
        <w:spacing w:after="160"/>
        <w:jc w:val="both"/>
        <w:rPr>
          <w:rFonts w:ascii="Arial" w:hAnsi="Arial" w:cs="Arial"/>
          <w:color w:val="000000"/>
          <w:sz w:val="24"/>
          <w:szCs w:val="24"/>
        </w:rPr>
      </w:pPr>
      <w:r w:rsidRPr="006639EA">
        <w:rPr>
          <w:rFonts w:ascii="Arial" w:hAnsi="Arial" w:cs="Arial"/>
          <w:color w:val="000000"/>
          <w:sz w:val="24"/>
          <w:szCs w:val="24"/>
        </w:rPr>
        <w:t>En este ítem se evaluó el nivel de cumplimiento de las TRD frente a los siguientes requerimientos.</w:t>
      </w:r>
    </w:p>
    <w:p w14:paraId="303A48C0" w14:textId="77777777" w:rsidR="006639EA" w:rsidRPr="006639EA" w:rsidRDefault="006639EA" w:rsidP="006639EA">
      <w:pPr>
        <w:spacing w:after="160"/>
        <w:jc w:val="both"/>
        <w:rPr>
          <w:rFonts w:ascii="Arial" w:hAnsi="Arial" w:cs="Arial"/>
          <w:color w:val="000000"/>
          <w:sz w:val="24"/>
          <w:szCs w:val="24"/>
        </w:rPr>
      </w:pPr>
      <w:r w:rsidRPr="006639EA">
        <w:rPr>
          <w:rFonts w:ascii="Arial" w:hAnsi="Arial" w:cs="Arial"/>
          <w:b/>
          <w:color w:val="000000"/>
          <w:sz w:val="24"/>
          <w:szCs w:val="24"/>
        </w:rPr>
        <w:t>9.1. La disposición final asignada a series y subseries concuerda con los criterios de valoración secundaria establecidos en la memoria descriptiva</w:t>
      </w:r>
      <w:r w:rsidRPr="006639EA">
        <w:rPr>
          <w:rFonts w:ascii="Arial" w:hAnsi="Arial" w:cs="Arial"/>
          <w:color w:val="000000"/>
          <w:sz w:val="24"/>
          <w:szCs w:val="24"/>
        </w:rPr>
        <w:t>.</w:t>
      </w:r>
    </w:p>
    <w:p w14:paraId="4705B83B"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La memoria descriptiva establece criterios de valoración secundaria, incluyendo procesos de selección cualitativa y cuantitativa, así como la identificación de valores secundarios en determinadas series documentales. Estos criterios se reflejan en las Tablas de Retención Documental (TRD), donde se asignan disposiciones finales como selección, conservación o eliminación de acuerdo con la naturaleza y valor de los documentos.</w:t>
      </w:r>
    </w:p>
    <w:p w14:paraId="4179780A"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Se identifica correspondencia entre los criterios de valoración secundaria definidos y la disposición final asignada a las series y subseries documentales.</w:t>
      </w:r>
    </w:p>
    <w:p w14:paraId="6BFEF1D8"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 xml:space="preserve">Cumple </w:t>
      </w:r>
    </w:p>
    <w:p w14:paraId="2E90DFFC"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9.2. Se marca un solo tipo de disposición final (conservación total, selección o eliminación) para series y subseries documentales registradas en TRD.</w:t>
      </w:r>
    </w:p>
    <w:p w14:paraId="06ED8B69" w14:textId="77777777" w:rsidR="006639EA" w:rsidRPr="006639EA" w:rsidRDefault="006639EA" w:rsidP="006639EA">
      <w:pPr>
        <w:spacing w:after="160"/>
        <w:jc w:val="both"/>
        <w:rPr>
          <w:rFonts w:ascii="Arial" w:hAnsi="Arial" w:cs="Arial"/>
          <w:noProof/>
          <w:color w:val="000000"/>
          <w:sz w:val="24"/>
          <w:szCs w:val="24"/>
          <w:lang w:val="es-CO"/>
        </w:rPr>
      </w:pPr>
      <w:r w:rsidRPr="006639EA">
        <w:rPr>
          <w:rFonts w:ascii="Arial" w:hAnsi="Arial" w:cs="Arial"/>
          <w:noProof/>
          <w:color w:val="000000"/>
          <w:sz w:val="24"/>
          <w:szCs w:val="24"/>
          <w:lang w:val="es-CO"/>
        </w:rPr>
        <w:t>El instrumento, evidencia que para cada serie y subserie documental se asigna un único tipo de disposición final, sin que se presenten simultáneamente múltiples opciones para una misma agrupación documental. Esto permite una adecuada interpretación y aplicación de la disposición final dentro del ciclo de vida documental.</w:t>
      </w:r>
    </w:p>
    <w:p w14:paraId="6209EBD9" w14:textId="77777777" w:rsidR="006639EA" w:rsidRPr="006639EA" w:rsidRDefault="006639EA" w:rsidP="006639EA">
      <w:pPr>
        <w:spacing w:after="160"/>
        <w:jc w:val="both"/>
        <w:rPr>
          <w:rFonts w:ascii="Arial" w:hAnsi="Arial" w:cs="Arial"/>
          <w:noProof/>
          <w:color w:val="000000"/>
          <w:sz w:val="24"/>
          <w:szCs w:val="24"/>
          <w:lang w:val="es-CO"/>
        </w:rPr>
      </w:pPr>
      <w:r w:rsidRPr="006639EA">
        <w:rPr>
          <w:rFonts w:ascii="Arial" w:hAnsi="Arial" w:cs="Arial"/>
          <w:b/>
          <w:bCs/>
          <w:noProof/>
          <w:color w:val="000000"/>
          <w:sz w:val="24"/>
          <w:szCs w:val="24"/>
          <w:lang w:val="es-CO"/>
        </w:rPr>
        <w:t xml:space="preserve">Cumple </w:t>
      </w:r>
    </w:p>
    <w:p w14:paraId="31A9C038"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9.3. La casilla M (medios de reproducción tecnológica) se marca solo para series y subseries con disposición final conservación total o selección. En caso de que la entidad la marque para series o subseries con disposición final eliminación, indica en el procedimiento que eliminará los dos soportes.</w:t>
      </w:r>
    </w:p>
    <w:p w14:paraId="583FFCC2" w14:textId="77777777" w:rsidR="006639EA" w:rsidRPr="006639EA" w:rsidRDefault="006639EA" w:rsidP="006639EA">
      <w:pPr>
        <w:pBdr>
          <w:top w:val="nil"/>
          <w:left w:val="nil"/>
          <w:bottom w:val="nil"/>
          <w:right w:val="nil"/>
          <w:between w:val="nil"/>
        </w:pBdr>
        <w:jc w:val="both"/>
        <w:rPr>
          <w:rFonts w:ascii="Arial" w:hAnsi="Arial" w:cs="Arial"/>
          <w:color w:val="000000"/>
          <w:sz w:val="24"/>
          <w:szCs w:val="24"/>
          <w:lang w:val="es-CO"/>
        </w:rPr>
      </w:pPr>
      <w:r w:rsidRPr="006639EA">
        <w:rPr>
          <w:rFonts w:ascii="Arial" w:hAnsi="Arial" w:cs="Arial"/>
          <w:color w:val="000000"/>
          <w:sz w:val="24"/>
          <w:szCs w:val="24"/>
          <w:lang w:val="es-CO"/>
        </w:rPr>
        <w:t>El instrumento evidencia que la casilla M (medios de reproducción tecnológica) se utiliza de manera coherente con la disposición final asignada a las series y subseries documentales, aplicándose a aquellas con conservación total o selección. En los casos en que se asocia a series con disposición final eliminación, se especifica en el procedimiento la eliminación de los documentos en ambos soportes, garantizando la consistencia en la aplicación del proceso.</w:t>
      </w:r>
    </w:p>
    <w:p w14:paraId="29D08534" w14:textId="77777777" w:rsidR="006639EA" w:rsidRPr="006639EA" w:rsidRDefault="006639EA" w:rsidP="006639EA">
      <w:pPr>
        <w:pBdr>
          <w:top w:val="nil"/>
          <w:left w:val="nil"/>
          <w:bottom w:val="nil"/>
          <w:right w:val="nil"/>
          <w:between w:val="nil"/>
        </w:pBdr>
        <w:jc w:val="both"/>
        <w:rPr>
          <w:rFonts w:ascii="Arial" w:hAnsi="Arial" w:cs="Arial"/>
          <w:b/>
          <w:bCs/>
          <w:color w:val="000000"/>
          <w:sz w:val="24"/>
          <w:szCs w:val="24"/>
          <w:lang w:val="es-CO"/>
        </w:rPr>
      </w:pPr>
    </w:p>
    <w:p w14:paraId="3F92F6DB" w14:textId="77777777" w:rsidR="006639EA" w:rsidRPr="006639EA" w:rsidRDefault="006639EA" w:rsidP="006639EA">
      <w:pPr>
        <w:pBdr>
          <w:top w:val="nil"/>
          <w:left w:val="nil"/>
          <w:bottom w:val="nil"/>
          <w:right w:val="nil"/>
          <w:between w:val="nil"/>
        </w:pBdr>
        <w:jc w:val="both"/>
        <w:rPr>
          <w:rFonts w:ascii="Arial" w:hAnsi="Arial" w:cs="Arial"/>
          <w:color w:val="000000"/>
          <w:sz w:val="24"/>
          <w:szCs w:val="24"/>
          <w:lang w:val="es-CO"/>
        </w:rPr>
      </w:pPr>
      <w:r w:rsidRPr="006639EA">
        <w:rPr>
          <w:rFonts w:ascii="Arial" w:hAnsi="Arial" w:cs="Arial"/>
          <w:b/>
          <w:bCs/>
          <w:color w:val="000000"/>
          <w:sz w:val="24"/>
          <w:szCs w:val="24"/>
          <w:lang w:val="es-CO"/>
        </w:rPr>
        <w:t xml:space="preserve">Cumple </w:t>
      </w:r>
    </w:p>
    <w:p w14:paraId="0414F6AB" w14:textId="77777777" w:rsidR="006639EA" w:rsidRPr="006639EA" w:rsidRDefault="006639EA" w:rsidP="006639EA">
      <w:pPr>
        <w:pBdr>
          <w:top w:val="nil"/>
          <w:left w:val="nil"/>
          <w:bottom w:val="nil"/>
          <w:right w:val="nil"/>
          <w:between w:val="nil"/>
        </w:pBdr>
        <w:jc w:val="both"/>
        <w:rPr>
          <w:rFonts w:ascii="Arial" w:hAnsi="Arial" w:cs="Arial"/>
          <w:color w:val="000000"/>
          <w:sz w:val="24"/>
          <w:szCs w:val="24"/>
        </w:rPr>
      </w:pPr>
    </w:p>
    <w:p w14:paraId="3347C00F" w14:textId="77777777" w:rsidR="006639EA" w:rsidRPr="006639EA" w:rsidRDefault="006639EA" w:rsidP="006639EA">
      <w:pPr>
        <w:pBdr>
          <w:top w:val="nil"/>
          <w:left w:val="nil"/>
          <w:bottom w:val="nil"/>
          <w:right w:val="nil"/>
          <w:between w:val="nil"/>
        </w:pBdr>
        <w:jc w:val="both"/>
        <w:rPr>
          <w:rFonts w:ascii="Arial" w:hAnsi="Arial" w:cs="Arial"/>
          <w:b/>
          <w:color w:val="000000"/>
          <w:sz w:val="24"/>
          <w:szCs w:val="24"/>
        </w:rPr>
      </w:pPr>
      <w:r w:rsidRPr="006639EA">
        <w:rPr>
          <w:rFonts w:ascii="Arial" w:hAnsi="Arial" w:cs="Arial"/>
          <w:b/>
          <w:sz w:val="24"/>
          <w:szCs w:val="24"/>
        </w:rPr>
        <w:t>9.4.</w:t>
      </w:r>
      <w:r w:rsidRPr="006639EA">
        <w:rPr>
          <w:rFonts w:ascii="Arial" w:hAnsi="Arial" w:cs="Arial"/>
          <w:color w:val="000000"/>
          <w:sz w:val="24"/>
          <w:szCs w:val="24"/>
        </w:rPr>
        <w:t xml:space="preserve"> </w:t>
      </w:r>
      <w:r w:rsidRPr="006639EA">
        <w:rPr>
          <w:rFonts w:ascii="Arial" w:hAnsi="Arial" w:cs="Arial"/>
          <w:b/>
          <w:color w:val="000000"/>
          <w:sz w:val="24"/>
          <w:szCs w:val="24"/>
        </w:rPr>
        <w:t xml:space="preserve">La disposición final de series y subseries se establece en concordancia con el valor informativo que puedan tener los documentos para la reconstrucción de la historia de la entidad, la región o la nación, para la cultura o la ciencia. </w:t>
      </w:r>
    </w:p>
    <w:p w14:paraId="629FD34B" w14:textId="77777777" w:rsidR="006639EA" w:rsidRPr="006639EA" w:rsidRDefault="006639EA" w:rsidP="006639EA">
      <w:pPr>
        <w:pBdr>
          <w:top w:val="nil"/>
          <w:left w:val="nil"/>
          <w:bottom w:val="nil"/>
          <w:right w:val="nil"/>
          <w:between w:val="nil"/>
        </w:pBdr>
        <w:jc w:val="both"/>
        <w:rPr>
          <w:rFonts w:ascii="Arial" w:hAnsi="Arial" w:cs="Arial"/>
          <w:b/>
          <w:color w:val="000000"/>
          <w:sz w:val="24"/>
          <w:szCs w:val="24"/>
        </w:rPr>
      </w:pPr>
    </w:p>
    <w:p w14:paraId="2879C7E7" w14:textId="77777777" w:rsidR="006639EA" w:rsidRPr="006639EA" w:rsidRDefault="006639EA" w:rsidP="006639EA">
      <w:pPr>
        <w:pBdr>
          <w:top w:val="nil"/>
          <w:left w:val="nil"/>
          <w:bottom w:val="nil"/>
          <w:right w:val="nil"/>
          <w:between w:val="nil"/>
        </w:pBdr>
        <w:jc w:val="both"/>
        <w:rPr>
          <w:rFonts w:ascii="Arial" w:hAnsi="Arial" w:cs="Arial"/>
          <w:color w:val="000000"/>
          <w:sz w:val="24"/>
          <w:szCs w:val="24"/>
          <w:lang w:val="es-CO"/>
        </w:rPr>
      </w:pPr>
      <w:r w:rsidRPr="006639EA">
        <w:rPr>
          <w:rFonts w:ascii="Arial" w:hAnsi="Arial" w:cs="Arial"/>
          <w:color w:val="000000"/>
          <w:sz w:val="24"/>
          <w:szCs w:val="24"/>
          <w:lang w:val="es-CO"/>
        </w:rPr>
        <w:t>En la evaluación de las TRD El instrumento asigna disposición final a las series y subseries documentales con base en criterios administrativos y legales; sin embargo, no se evidencia una justificación clara del valor informativo orientado a la reconstrucción de la memoria institucional, regional o nacional.</w:t>
      </w:r>
    </w:p>
    <w:p w14:paraId="62F6B2B8" w14:textId="77777777" w:rsidR="006639EA" w:rsidRPr="006639EA" w:rsidRDefault="006639EA" w:rsidP="006639EA">
      <w:pPr>
        <w:pBdr>
          <w:top w:val="nil"/>
          <w:left w:val="nil"/>
          <w:bottom w:val="nil"/>
          <w:right w:val="nil"/>
          <w:between w:val="nil"/>
        </w:pBdr>
        <w:jc w:val="both"/>
        <w:rPr>
          <w:rFonts w:ascii="Arial" w:hAnsi="Arial" w:cs="Arial"/>
          <w:color w:val="000000"/>
          <w:sz w:val="24"/>
          <w:szCs w:val="24"/>
          <w:lang w:val="es-CO"/>
        </w:rPr>
      </w:pPr>
    </w:p>
    <w:p w14:paraId="2D3339D3" w14:textId="77777777" w:rsidR="006639EA" w:rsidRPr="006639EA" w:rsidRDefault="006639EA" w:rsidP="006639EA">
      <w:pPr>
        <w:pBdr>
          <w:top w:val="nil"/>
          <w:left w:val="nil"/>
          <w:bottom w:val="nil"/>
          <w:right w:val="nil"/>
          <w:between w:val="nil"/>
        </w:pBdr>
        <w:jc w:val="both"/>
        <w:rPr>
          <w:rFonts w:ascii="Arial" w:hAnsi="Arial" w:cs="Arial"/>
          <w:color w:val="000000"/>
          <w:sz w:val="24"/>
          <w:szCs w:val="24"/>
          <w:lang w:val="es-CO"/>
        </w:rPr>
      </w:pPr>
      <w:r w:rsidRPr="006639EA">
        <w:rPr>
          <w:rFonts w:ascii="Arial" w:hAnsi="Arial" w:cs="Arial"/>
          <w:color w:val="000000"/>
          <w:sz w:val="24"/>
          <w:szCs w:val="24"/>
          <w:lang w:val="es-CO"/>
        </w:rPr>
        <w:t xml:space="preserve">Adicionalmente, se identifican marcaciones de categorías como derechos humanos en subseries documentales cuya naturaleza no corresponde a este tipo de información, lo que evidencia inconsistencias en la valoración secundaria y en la identificación del valor informativo de los documentos (ver, por ejemplo, serie Convenios, donde marca serie de </w:t>
      </w:r>
      <w:proofErr w:type="gramStart"/>
      <w:r w:rsidRPr="006639EA">
        <w:rPr>
          <w:rFonts w:ascii="Arial" w:hAnsi="Arial" w:cs="Arial"/>
          <w:color w:val="000000"/>
          <w:sz w:val="24"/>
          <w:szCs w:val="24"/>
          <w:lang w:val="es-CO"/>
        </w:rPr>
        <w:t>DD.HH</w:t>
      </w:r>
      <w:proofErr w:type="gramEnd"/>
      <w:r w:rsidRPr="006639EA">
        <w:rPr>
          <w:rFonts w:ascii="Arial" w:hAnsi="Arial" w:cs="Arial"/>
          <w:color w:val="000000"/>
          <w:sz w:val="24"/>
          <w:szCs w:val="24"/>
          <w:lang w:val="es-CO"/>
        </w:rPr>
        <w:t>/DIH).</w:t>
      </w:r>
    </w:p>
    <w:p w14:paraId="213E2C98" w14:textId="77777777" w:rsidR="006639EA" w:rsidRPr="006639EA" w:rsidRDefault="006639EA" w:rsidP="006639EA">
      <w:pPr>
        <w:pBdr>
          <w:top w:val="nil"/>
          <w:left w:val="nil"/>
          <w:bottom w:val="nil"/>
          <w:right w:val="nil"/>
          <w:between w:val="nil"/>
        </w:pBdr>
        <w:jc w:val="both"/>
        <w:rPr>
          <w:rFonts w:ascii="Arial" w:hAnsi="Arial" w:cs="Arial"/>
          <w:color w:val="000000"/>
          <w:sz w:val="24"/>
          <w:szCs w:val="24"/>
          <w:lang w:val="es-CO"/>
        </w:rPr>
      </w:pPr>
    </w:p>
    <w:p w14:paraId="69418DFF" w14:textId="77777777" w:rsidR="006639EA" w:rsidRPr="006639EA" w:rsidRDefault="006639EA" w:rsidP="006639EA">
      <w:pPr>
        <w:pBdr>
          <w:top w:val="nil"/>
          <w:left w:val="nil"/>
          <w:bottom w:val="nil"/>
          <w:right w:val="nil"/>
          <w:between w:val="nil"/>
        </w:pBdr>
        <w:jc w:val="both"/>
        <w:rPr>
          <w:rFonts w:ascii="Arial" w:hAnsi="Arial" w:cs="Arial"/>
          <w:color w:val="000000"/>
          <w:sz w:val="24"/>
          <w:szCs w:val="24"/>
          <w:lang w:val="es-CO"/>
        </w:rPr>
      </w:pPr>
      <w:r w:rsidRPr="006639EA">
        <w:rPr>
          <w:rFonts w:ascii="Arial" w:hAnsi="Arial" w:cs="Arial"/>
          <w:color w:val="000000"/>
          <w:sz w:val="24"/>
          <w:szCs w:val="24"/>
          <w:lang w:val="es-CO"/>
        </w:rPr>
        <w:t>En consecuencia, no se establece de manera adecuada la relación entre la disposición final y el valor informativo en los términos exigidos.</w:t>
      </w:r>
    </w:p>
    <w:p w14:paraId="12F1541E" w14:textId="77777777" w:rsidR="006639EA" w:rsidRPr="006639EA" w:rsidRDefault="006639EA" w:rsidP="006639EA">
      <w:pPr>
        <w:pBdr>
          <w:top w:val="nil"/>
          <w:left w:val="nil"/>
          <w:bottom w:val="nil"/>
          <w:right w:val="nil"/>
          <w:between w:val="nil"/>
        </w:pBdr>
        <w:jc w:val="both"/>
        <w:rPr>
          <w:rFonts w:ascii="Arial" w:hAnsi="Arial" w:cs="Arial"/>
          <w:sz w:val="24"/>
          <w:szCs w:val="24"/>
          <w:lang w:val="es-CO"/>
        </w:rPr>
      </w:pPr>
    </w:p>
    <w:p w14:paraId="4F34CCA1" w14:textId="77777777" w:rsidR="006639EA" w:rsidRPr="006639EA" w:rsidRDefault="006639EA" w:rsidP="006639EA">
      <w:pPr>
        <w:pBdr>
          <w:top w:val="nil"/>
          <w:left w:val="nil"/>
          <w:bottom w:val="nil"/>
          <w:right w:val="nil"/>
          <w:between w:val="nil"/>
        </w:pBdr>
        <w:jc w:val="both"/>
        <w:rPr>
          <w:rFonts w:ascii="Arial" w:hAnsi="Arial" w:cs="Arial"/>
          <w:sz w:val="24"/>
          <w:szCs w:val="24"/>
          <w:lang w:val="es-CO"/>
        </w:rPr>
      </w:pPr>
      <w:r w:rsidRPr="006639EA">
        <w:rPr>
          <w:rFonts w:ascii="Arial" w:hAnsi="Arial" w:cs="Arial"/>
          <w:b/>
          <w:bCs/>
          <w:sz w:val="24"/>
          <w:szCs w:val="24"/>
          <w:lang w:val="es-CO"/>
        </w:rPr>
        <w:t xml:space="preserve">No cumple </w:t>
      </w:r>
    </w:p>
    <w:p w14:paraId="379B0C23" w14:textId="77777777" w:rsidR="006639EA" w:rsidRPr="006639EA" w:rsidRDefault="006639EA" w:rsidP="006639EA">
      <w:pPr>
        <w:pBdr>
          <w:top w:val="nil"/>
          <w:left w:val="nil"/>
          <w:bottom w:val="nil"/>
          <w:right w:val="nil"/>
          <w:between w:val="nil"/>
        </w:pBdr>
        <w:jc w:val="both"/>
        <w:rPr>
          <w:rFonts w:ascii="Arial" w:hAnsi="Arial" w:cs="Arial"/>
          <w:sz w:val="24"/>
          <w:szCs w:val="24"/>
        </w:rPr>
      </w:pPr>
    </w:p>
    <w:p w14:paraId="522D77C6"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9.5. En la casilla de procedimiento de cada una de las series y subseries se justifica la disposición final a partir del valor informativo de los documentos.</w:t>
      </w:r>
    </w:p>
    <w:p w14:paraId="3558D7B3"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El instrumento presenta en la casilla de procedimiento la descripción de las series y subseries documentales, así como aspectos relacionados con su gestión, tiempos de retención y disposiciones finales. No obstante, no se evidencia de forma explícita que la disposición final se encuentre sustentada en el valor informativo de los documentos orientado a la reconstrucción de la memoria institucional, regional o nacional.</w:t>
      </w:r>
    </w:p>
    <w:p w14:paraId="2C57AFAB"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 xml:space="preserve">Las justificaciones se enfocan principalmente en aspectos administrativos, legales y operativos, sin desarrollar de manera clara el valor secundario de la información. </w:t>
      </w:r>
    </w:p>
    <w:p w14:paraId="3AFAEB18" w14:textId="77777777" w:rsidR="006639EA" w:rsidRPr="006639EA" w:rsidRDefault="006639EA" w:rsidP="006639EA">
      <w:pPr>
        <w:spacing w:after="160"/>
        <w:jc w:val="both"/>
        <w:rPr>
          <w:rFonts w:ascii="Arial" w:hAnsi="Arial" w:cs="Arial"/>
          <w:color w:val="000000"/>
          <w:sz w:val="24"/>
          <w:szCs w:val="24"/>
          <w:highlight w:val="yellow"/>
          <w:lang w:val="es-CO"/>
        </w:rPr>
      </w:pPr>
      <w:r w:rsidRPr="006639EA">
        <w:rPr>
          <w:rFonts w:ascii="Arial" w:hAnsi="Arial" w:cs="Arial"/>
          <w:color w:val="000000"/>
          <w:sz w:val="24"/>
          <w:szCs w:val="24"/>
          <w:lang w:val="es-CO"/>
        </w:rPr>
        <w:t>Adicionalmente, se identifican inconsistencias en la marcación de categorías como Derechos Humanos en subseries cuya naturaleza no corresponde a este tipo de información, lo que refuerza la falta de coherencia en la valoración informativa.</w:t>
      </w:r>
    </w:p>
    <w:p w14:paraId="4719C57F"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b/>
          <w:bCs/>
          <w:color w:val="000000"/>
          <w:sz w:val="24"/>
          <w:szCs w:val="24"/>
          <w:lang w:val="es-CO"/>
        </w:rPr>
        <w:t xml:space="preserve">No cumple </w:t>
      </w:r>
    </w:p>
    <w:p w14:paraId="42BA6171"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9.6. En la casilla de procedimiento de las series y subseries cuya disposición final sea conservación o selección, queda claro que se conservarán en su soporte original. (punto no crítico)</w:t>
      </w:r>
    </w:p>
    <w:p w14:paraId="033910C2"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lastRenderedPageBreak/>
        <w:t>El instrumento presenta indicaciones relacionadas con la conservación de documentos en su soporte original para series y subseries con disposición final conservación o selección. No obstante, se evidencian inconsistencias en la valoración documental, particularmente en la marcación de categorías como derechos humanos en subseries cuya naturaleza no corresponde a este tipo de información.</w:t>
      </w:r>
    </w:p>
    <w:p w14:paraId="3F449AC0"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Esta situación afecta la coherencia en la aplicación de la disposición final y limita la verificación integral del criterio, ya que no es posible establecer con certeza si la conservación en soporte original responde adecuadamente al valor informativo real de los documentos.</w:t>
      </w:r>
    </w:p>
    <w:p w14:paraId="45F17B0A"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b/>
          <w:bCs/>
          <w:color w:val="000000"/>
          <w:sz w:val="24"/>
          <w:szCs w:val="24"/>
          <w:lang w:val="es-CO"/>
        </w:rPr>
        <w:t>Cumple parcialmente</w:t>
      </w:r>
    </w:p>
    <w:p w14:paraId="5C09FD75"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9.7. En la casilla de procedimiento de las series y subseries cuya disposición final es eliminación y se justifica a partir de la compilación o representación en otra serie se indica en cual.</w:t>
      </w:r>
    </w:p>
    <w:p w14:paraId="064D4EA5"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El instrumento presenta la justificación de la disposición final de eliminación para determinadas subseries documentales; sin embargo, dicha justificación no se fundamenta en la compilación o representación de la información en otra serie documental.</w:t>
      </w:r>
    </w:p>
    <w:p w14:paraId="5ECEBAF3"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Por ejemplo, en la serie Historiales de Maquinaria y Equipos, se indica que los documentos pierden sus valores primarios y no desarrollan valores secundarios, estableciendo su eliminación una vez cumplidos los tiempos de retención. No obstante, no se señala que la información contenida en esta subserie sea compilada o representada en otra serie documental, ni se identifica cuál sería dicha serie.</w:t>
      </w:r>
    </w:p>
    <w:p w14:paraId="3BE6E028"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La justificación se limita a la pérdida de valor documental, sin cumplir con el requisito específico exigido.</w:t>
      </w:r>
    </w:p>
    <w:p w14:paraId="23323D3E"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b/>
          <w:bCs/>
          <w:color w:val="000000"/>
          <w:sz w:val="24"/>
          <w:szCs w:val="24"/>
          <w:lang w:val="es-CO"/>
        </w:rPr>
        <w:t xml:space="preserve">No cumple </w:t>
      </w:r>
    </w:p>
    <w:p w14:paraId="59643DC7"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9.8. En la casilla de procedimiento de las series y subseries con disposición final selección se indica el tamaño de la muestra a seleccionar (en porcentaje o número) el método de selección (aleatorio o sistemático). Si el método es sistemático se indican los criterios cualitativos que deben reunir las unidades documentales a seleccionar.</w:t>
      </w:r>
    </w:p>
    <w:p w14:paraId="75A2D55B"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El instrumento, evidencia que en las series y subseries con disposición final selección se especifican tanto el tamaño de la muestra como el método de selección.</w:t>
      </w:r>
    </w:p>
    <w:p w14:paraId="02DFEAA4"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 xml:space="preserve">Por ejemplo, en la serie Procesos Jurídicos, subserie Procesos Contencioso Administrativos, se establece la aplicación de una selección aleatoria del 20% de la </w:t>
      </w:r>
      <w:r w:rsidRPr="006639EA">
        <w:rPr>
          <w:rFonts w:ascii="Arial" w:hAnsi="Arial" w:cs="Arial"/>
          <w:color w:val="000000"/>
          <w:sz w:val="24"/>
          <w:szCs w:val="24"/>
          <w:lang w:val="es-CO"/>
        </w:rPr>
        <w:lastRenderedPageBreak/>
        <w:t>producción documental por cada diez (10</w:t>
      </w:r>
      <w:r w:rsidRPr="006639EA">
        <w:rPr>
          <w:rFonts w:ascii="Arial" w:hAnsi="Arial" w:cs="Arial"/>
          <w:b/>
          <w:bCs/>
          <w:color w:val="000000"/>
          <w:sz w:val="24"/>
          <w:szCs w:val="24"/>
          <w:lang w:val="es-CO"/>
        </w:rPr>
        <w:t>) años</w:t>
      </w:r>
      <w:r w:rsidRPr="006639EA">
        <w:rPr>
          <w:rFonts w:ascii="Arial" w:hAnsi="Arial" w:cs="Arial"/>
          <w:color w:val="000000"/>
          <w:sz w:val="24"/>
          <w:szCs w:val="24"/>
          <w:lang w:val="es-CO"/>
        </w:rPr>
        <w:t>, lo que permite identificar claramente el porcentaje de muestra y el método utilizado.</w:t>
      </w:r>
    </w:p>
    <w:p w14:paraId="63393C50"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Esta información permite comprender de manera precisa el procedimiento de selección documental.</w:t>
      </w:r>
    </w:p>
    <w:p w14:paraId="25CBC5BF"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b/>
          <w:bCs/>
          <w:color w:val="000000"/>
          <w:sz w:val="24"/>
          <w:szCs w:val="24"/>
          <w:lang w:val="es-CO"/>
        </w:rPr>
        <w:t xml:space="preserve">Cumple </w:t>
      </w:r>
    </w:p>
    <w:p w14:paraId="156E0476"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9.9. En la casilla de procedimiento de las series y subseries que tienen por disposición final eliminación, se indica en qué momento se hará, el área responsable de adelantarla y se brindan indicaciones de cómo se realizará la actividad.</w:t>
      </w:r>
    </w:p>
    <w:p w14:paraId="38ADCEB3"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El instrumento establece el momento en que se ejecuta la eliminación documental, así como el procedimiento para su realización; sin embargo, no se evidencia de forma completa el cumplimiento de todos los elementos exigidos.</w:t>
      </w:r>
    </w:p>
    <w:p w14:paraId="7EDF8CD4"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Por ejemplo, en la serie Procesos Contractuales Declarados Desiertos, se indica que la eliminación se realiza una vez cumplidos los tiempos de retención en el archivo de gestión y archivo central, y se describe el método de eliminación mediante picado conforme a la normatividad archivística vigente. No obstante, no se identifica de manera explícita el área responsable encargada de adelantar dicha actividad.</w:t>
      </w:r>
    </w:p>
    <w:p w14:paraId="612A9F1E"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En consecuencia, la información presentada es parcial frente a los requerimientos del ítem.</w:t>
      </w:r>
    </w:p>
    <w:p w14:paraId="3B2736B6"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b/>
          <w:bCs/>
          <w:color w:val="000000"/>
          <w:sz w:val="24"/>
          <w:szCs w:val="24"/>
          <w:lang w:val="es-CO"/>
        </w:rPr>
        <w:t>Cumple parcialmente</w:t>
      </w:r>
    </w:p>
    <w:p w14:paraId="6A6AC4C6"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9.10. En la casilla de procedimiento de las series y subseries que van a ser reproducidas por medios tecnológicos se indica en qué momento se hará la reproducción, el área responsable de realizarla y se brindan indicaciones de cómo se realizará la actividad.</w:t>
      </w:r>
    </w:p>
    <w:p w14:paraId="1D0BC5E9"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El instrumento, establece las condiciones para la reproducción de documentos por medios tecnológicos, incluyendo el momento en que se realiza y las actividades asociadas al proceso.</w:t>
      </w:r>
    </w:p>
    <w:p w14:paraId="67B43749"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Por ejemplo, en la serie Planes, subserie Planes Anticorrupción y Atención al Ciudadano, se indica que la digitalización se llevará a cabo durante la permanencia en el archivo central, especificando además el proceso de reproducción mediante digitalización de los documentos en soporte papel. Así mismo, se identifica el área responsable, en este caso la Secretaría General, encargada de realizar dicha actividad.</w:t>
      </w:r>
    </w:p>
    <w:p w14:paraId="07B9DBD7"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No obstante, aunque se describe el proceso general de digitalización, las indicaciones sobre cómo se realizará la actividad son de carácter general y no desarrollan de manera detallada los procedimientos técnicos específicos.</w:t>
      </w:r>
    </w:p>
    <w:p w14:paraId="0033854D"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b/>
          <w:bCs/>
          <w:color w:val="000000"/>
          <w:sz w:val="24"/>
          <w:szCs w:val="24"/>
          <w:lang w:val="es-CO"/>
        </w:rPr>
        <w:lastRenderedPageBreak/>
        <w:t>Cumple parcialmente</w:t>
      </w:r>
    </w:p>
    <w:p w14:paraId="538D854E"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9.11. Existe coherencia entre la disposición final asignada a series y subseries documentales y la información registrada en los procedimientos.</w:t>
      </w:r>
    </w:p>
    <w:p w14:paraId="773FF33A"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El instrumento, presenta inconsistencias entre la disposición final asignada y la información registrada en los procedimientos.</w:t>
      </w:r>
    </w:p>
    <w:p w14:paraId="6B62E3E4"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Por ejemplo, en series documentales donde se realiza marcación asociada a Derechos Humanos, se identifican subseries cuya naturaleza no corresponde a este tipo de información, como es el caso de los convenios interadministrativos. Esta situación evidencia falta de coherencia entre la valoración documental, la clasificación temática y la disposición final asignada.</w:t>
      </w:r>
    </w:p>
    <w:p w14:paraId="4BCD8A5A"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color w:val="000000"/>
          <w:sz w:val="24"/>
          <w:szCs w:val="24"/>
          <w:lang w:val="es-CO"/>
        </w:rPr>
        <w:t>Lo anterior afecta la consistencia del instrumento, ya que los procedimientos no reflejan de manera adecuada el valor informativo real de los documentos ni su correcta categorización.</w:t>
      </w:r>
    </w:p>
    <w:p w14:paraId="27418786"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b/>
          <w:bCs/>
          <w:color w:val="000000"/>
          <w:sz w:val="24"/>
          <w:szCs w:val="24"/>
          <w:lang w:val="es-CO"/>
        </w:rPr>
        <w:t xml:space="preserve">No cumple </w:t>
      </w:r>
    </w:p>
    <w:p w14:paraId="7F1B869E"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10. Presenta anexos del Sistema Integrado de Gestión, como los son procedimientos de la entidad.</w:t>
      </w:r>
    </w:p>
    <w:p w14:paraId="5E08693C" w14:textId="77777777" w:rsidR="006639EA" w:rsidRPr="006639EA" w:rsidRDefault="006639EA" w:rsidP="006639EA">
      <w:pPr>
        <w:spacing w:after="160"/>
        <w:jc w:val="both"/>
        <w:rPr>
          <w:rFonts w:ascii="Arial" w:hAnsi="Arial" w:cs="Arial"/>
          <w:bCs/>
          <w:color w:val="000000"/>
          <w:sz w:val="24"/>
          <w:szCs w:val="24"/>
          <w:lang w:val="es-CO"/>
        </w:rPr>
      </w:pPr>
      <w:bookmarkStart w:id="0" w:name="_Hlk198100528"/>
      <w:r w:rsidRPr="006639EA">
        <w:rPr>
          <w:rFonts w:ascii="Arial" w:hAnsi="Arial" w:cs="Arial"/>
          <w:bCs/>
          <w:color w:val="000000"/>
          <w:sz w:val="24"/>
          <w:szCs w:val="24"/>
          <w:lang w:val="es-CO"/>
        </w:rPr>
        <w:t>Se evidencia que la entidad aporta como anexo una Resolución del 08/10/2018, mediante la cual se adopta el Manual de Procesos y Procedimientos del Concejo Municipal de Cachipay, lo cual constituye un soporte formal del Sistema Integrado de Gestión.</w:t>
      </w:r>
    </w:p>
    <w:p w14:paraId="03BA1D29"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Sin embargo, durante la revisión no se logra establecer de manera explícita que dicho manual:</w:t>
      </w:r>
    </w:p>
    <w:p w14:paraId="15FD52C3" w14:textId="77777777" w:rsidR="006639EA" w:rsidRPr="006639EA" w:rsidRDefault="006639EA" w:rsidP="006639EA">
      <w:pPr>
        <w:numPr>
          <w:ilvl w:val="0"/>
          <w:numId w:val="15"/>
        </w:num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 xml:space="preserve">Se encuentre vigente, ya que no se aporta acto administrativo actualizado o que ratifique su aplicación actual. </w:t>
      </w:r>
    </w:p>
    <w:p w14:paraId="325CC467" w14:textId="77777777" w:rsidR="006639EA" w:rsidRPr="006639EA" w:rsidRDefault="006639EA" w:rsidP="006639EA">
      <w:pPr>
        <w:numPr>
          <w:ilvl w:val="0"/>
          <w:numId w:val="15"/>
        </w:num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 xml:space="preserve">Esté efectivamente articulado con la construcción de las TRD, dado que no se evidencian otros anexos complementarios ni trazabilidad directa entre los procedimientos y las series/subseries documentales. </w:t>
      </w:r>
    </w:p>
    <w:p w14:paraId="2BE77AC9"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Adicionalmente, la existencia de un único documento (resolución de adopción) sin evidencia de actualización o implementación reciente limita la verificación del cumplimiento integral del criterio.</w:t>
      </w:r>
    </w:p>
    <w:p w14:paraId="6A5E42EA"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
          <w:bCs/>
          <w:color w:val="000000"/>
          <w:sz w:val="24"/>
          <w:szCs w:val="24"/>
          <w:lang w:val="es-CO"/>
        </w:rPr>
        <w:t>Cumple parcialmente</w:t>
      </w:r>
    </w:p>
    <w:p w14:paraId="3D39F94E"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bCs/>
          <w:color w:val="000000"/>
          <w:sz w:val="24"/>
          <w:szCs w:val="24"/>
          <w:lang w:val="es-CO"/>
        </w:rPr>
        <w:t>11.</w:t>
      </w:r>
      <w:r w:rsidRPr="006639EA">
        <w:rPr>
          <w:rFonts w:ascii="Arial" w:hAnsi="Arial" w:cs="Arial"/>
          <w:color w:val="000000"/>
          <w:sz w:val="24"/>
          <w:szCs w:val="24"/>
          <w:lang w:val="es-CO"/>
        </w:rPr>
        <w:t xml:space="preserve"> </w:t>
      </w:r>
      <w:r w:rsidRPr="006639EA">
        <w:rPr>
          <w:rFonts w:ascii="Arial" w:hAnsi="Arial" w:cs="Arial"/>
          <w:b/>
          <w:bCs/>
          <w:color w:val="000000"/>
          <w:sz w:val="24"/>
          <w:szCs w:val="24"/>
          <w:lang w:val="es-CO"/>
        </w:rPr>
        <w:t>Respecto a la custodia de documentos de Derechos Humanos y Derecho Internacional Humanitario.</w:t>
      </w:r>
      <w:r w:rsidRPr="006639EA">
        <w:rPr>
          <w:rFonts w:ascii="Arial" w:hAnsi="Arial" w:cs="Arial"/>
          <w:b/>
          <w:color w:val="000000"/>
          <w:sz w:val="24"/>
          <w:szCs w:val="24"/>
        </w:rPr>
        <w:t xml:space="preserve"> </w:t>
      </w:r>
    </w:p>
    <w:p w14:paraId="741DE732" w14:textId="77777777" w:rsidR="006639EA" w:rsidRPr="006639EA" w:rsidRDefault="006639EA" w:rsidP="006639EA">
      <w:pPr>
        <w:spacing w:after="160"/>
        <w:jc w:val="both"/>
        <w:rPr>
          <w:rFonts w:ascii="Arial" w:hAnsi="Arial" w:cs="Arial"/>
          <w:b/>
          <w:color w:val="000000"/>
          <w:sz w:val="24"/>
          <w:szCs w:val="24"/>
        </w:rPr>
      </w:pPr>
      <w:r w:rsidRPr="006639EA">
        <w:rPr>
          <w:rFonts w:ascii="Arial" w:hAnsi="Arial" w:cs="Arial"/>
          <w:b/>
          <w:color w:val="000000"/>
          <w:sz w:val="24"/>
          <w:szCs w:val="24"/>
        </w:rPr>
        <w:t xml:space="preserve">11.1 Proceso de identificación de archivos relativos a DD.DD y DIH. </w:t>
      </w:r>
    </w:p>
    <w:bookmarkEnd w:id="0"/>
    <w:p w14:paraId="3A3B5C68"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lastRenderedPageBreak/>
        <w:t xml:space="preserve">En la memoria descriptiva se presenta un apartado específico en el que la entidad identifica agrupaciones documentales que pueden estar relacionadas con derechos humanos, dentro de las cuales se incluyen los </w:t>
      </w:r>
      <w:r w:rsidRPr="006639EA">
        <w:rPr>
          <w:rFonts w:ascii="Arial" w:hAnsi="Arial" w:cs="Arial"/>
          <w:color w:val="000000"/>
          <w:sz w:val="24"/>
          <w:szCs w:val="24"/>
          <w:lang w:val="es-CO"/>
        </w:rPr>
        <w:t>mecanismos de participación ciudadana.</w:t>
      </w:r>
    </w:p>
    <w:p w14:paraId="1254C359"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 xml:space="preserve">En la verificación de las TRD se evidencia que la serie </w:t>
      </w:r>
      <w:r w:rsidRPr="006639EA">
        <w:rPr>
          <w:rFonts w:ascii="Arial" w:hAnsi="Arial" w:cs="Arial"/>
          <w:color w:val="000000"/>
          <w:sz w:val="24"/>
          <w:szCs w:val="24"/>
          <w:lang w:val="es-CO"/>
        </w:rPr>
        <w:t>MECANISMOS DE PARTICIPACIÓN CIUDADANA, particularmente las subseries:</w:t>
      </w:r>
    </w:p>
    <w:p w14:paraId="58D6DE55" w14:textId="77777777" w:rsidR="006639EA" w:rsidRPr="006639EA" w:rsidRDefault="006639EA" w:rsidP="006639EA">
      <w:pPr>
        <w:numPr>
          <w:ilvl w:val="0"/>
          <w:numId w:val="16"/>
        </w:num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 xml:space="preserve">Cabildos abiertos </w:t>
      </w:r>
    </w:p>
    <w:p w14:paraId="461C5B24" w14:textId="77777777" w:rsidR="006639EA" w:rsidRPr="006639EA" w:rsidRDefault="006639EA" w:rsidP="006639EA">
      <w:pPr>
        <w:numPr>
          <w:ilvl w:val="0"/>
          <w:numId w:val="16"/>
        </w:num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 xml:space="preserve">Iniciativa popular normativa </w:t>
      </w:r>
    </w:p>
    <w:p w14:paraId="48E13C02"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color w:val="000000"/>
          <w:sz w:val="24"/>
          <w:szCs w:val="24"/>
          <w:lang w:val="es-CO"/>
        </w:rPr>
        <w:t xml:space="preserve">sí se encuentran marcadas como relacionadas con </w:t>
      </w:r>
      <w:proofErr w:type="gramStart"/>
      <w:r w:rsidRPr="006639EA">
        <w:rPr>
          <w:rFonts w:ascii="Arial" w:hAnsi="Arial" w:cs="Arial"/>
          <w:color w:val="000000"/>
          <w:sz w:val="24"/>
          <w:szCs w:val="24"/>
          <w:lang w:val="es-CO"/>
        </w:rPr>
        <w:t>DD.HH</w:t>
      </w:r>
      <w:proofErr w:type="gramEnd"/>
      <w:r w:rsidRPr="006639EA">
        <w:rPr>
          <w:rFonts w:ascii="Arial" w:hAnsi="Arial" w:cs="Arial"/>
          <w:color w:val="000000"/>
          <w:sz w:val="24"/>
          <w:szCs w:val="24"/>
          <w:lang w:val="es-CO"/>
        </w:rPr>
        <w:t>, lo que demuestra que la entidad no solo realizó una identificación conceptual en la memoria descriptiva, sino que también la aplicó en el instrumento archivístico (TRD).</w:t>
      </w:r>
    </w:p>
    <w:p w14:paraId="03C800F5"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Adicionalmente, los procedimientos asociados a estas subseries reflejan su vínculo con:</w:t>
      </w:r>
    </w:p>
    <w:p w14:paraId="2AD95D85" w14:textId="77777777" w:rsidR="006639EA" w:rsidRPr="006639EA" w:rsidRDefault="006639EA" w:rsidP="006639EA">
      <w:pPr>
        <w:numPr>
          <w:ilvl w:val="0"/>
          <w:numId w:val="17"/>
        </w:num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 xml:space="preserve">Participación ciudadana </w:t>
      </w:r>
    </w:p>
    <w:p w14:paraId="6FE578BA" w14:textId="77777777" w:rsidR="006639EA" w:rsidRPr="006639EA" w:rsidRDefault="006639EA" w:rsidP="006639EA">
      <w:pPr>
        <w:numPr>
          <w:ilvl w:val="0"/>
          <w:numId w:val="17"/>
        </w:num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 xml:space="preserve">Discusión de asuntos de interés colectivo </w:t>
      </w:r>
    </w:p>
    <w:p w14:paraId="5155675D" w14:textId="77777777" w:rsidR="006639EA" w:rsidRPr="006639EA" w:rsidRDefault="006639EA" w:rsidP="006639EA">
      <w:pPr>
        <w:numPr>
          <w:ilvl w:val="0"/>
          <w:numId w:val="17"/>
        </w:num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 xml:space="preserve">Intervención de la comunidad </w:t>
      </w:r>
    </w:p>
    <w:p w14:paraId="546B34EC"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Elementos que pueden estar directamente relacionados con el ejercicio y garantía de derechos fundamentales.</w:t>
      </w:r>
    </w:p>
    <w:p w14:paraId="2FDA2F48"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 xml:space="preserve">No obstante, si bien existe esta correspondencia entre memoria descriptiva y TRD, </w:t>
      </w:r>
      <w:r w:rsidRPr="006639EA">
        <w:rPr>
          <w:rFonts w:ascii="Arial" w:hAnsi="Arial" w:cs="Arial"/>
          <w:color w:val="000000"/>
          <w:sz w:val="24"/>
          <w:szCs w:val="24"/>
          <w:lang w:val="es-CO"/>
        </w:rPr>
        <w:t>el proceso de identificación no se encuentra descrito de manera metodológica o estructurada,</w:t>
      </w:r>
      <w:r w:rsidRPr="006639EA">
        <w:rPr>
          <w:rFonts w:ascii="Arial" w:hAnsi="Arial" w:cs="Arial"/>
          <w:bCs/>
          <w:color w:val="000000"/>
          <w:sz w:val="24"/>
          <w:szCs w:val="24"/>
          <w:lang w:val="es-CO"/>
        </w:rPr>
        <w:t xml:space="preserve"> es decir, no se detallan:</w:t>
      </w:r>
    </w:p>
    <w:p w14:paraId="6054A60F" w14:textId="77777777" w:rsidR="006639EA" w:rsidRPr="006639EA" w:rsidRDefault="006639EA" w:rsidP="006639EA">
      <w:pPr>
        <w:numPr>
          <w:ilvl w:val="0"/>
          <w:numId w:val="18"/>
        </w:num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 xml:space="preserve">Criterios técnicos de identificación </w:t>
      </w:r>
    </w:p>
    <w:p w14:paraId="2A73838A" w14:textId="77777777" w:rsidR="006639EA" w:rsidRPr="006639EA" w:rsidRDefault="006639EA" w:rsidP="006639EA">
      <w:pPr>
        <w:numPr>
          <w:ilvl w:val="0"/>
          <w:numId w:val="18"/>
        </w:num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 xml:space="preserve">Metodología aplicada </w:t>
      </w:r>
    </w:p>
    <w:p w14:paraId="2C8A02CD" w14:textId="77777777" w:rsidR="006639EA" w:rsidRPr="006639EA" w:rsidRDefault="006639EA" w:rsidP="006639EA">
      <w:pPr>
        <w:numPr>
          <w:ilvl w:val="0"/>
          <w:numId w:val="18"/>
        </w:num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Responsables del proceso</w:t>
      </w:r>
    </w:p>
    <w:p w14:paraId="459A38C1" w14:textId="77777777" w:rsidR="006639EA" w:rsidRPr="006639EA" w:rsidRDefault="006639EA" w:rsidP="006639EA">
      <w:pPr>
        <w:spacing w:after="160"/>
        <w:jc w:val="both"/>
        <w:rPr>
          <w:rFonts w:ascii="Arial" w:hAnsi="Arial" w:cs="Arial"/>
          <w:bCs/>
          <w:color w:val="000000"/>
          <w:sz w:val="24"/>
          <w:szCs w:val="24"/>
          <w:lang w:val="es-CO"/>
        </w:rPr>
      </w:pPr>
      <w:r w:rsidRPr="006639EA">
        <w:rPr>
          <w:rFonts w:ascii="Arial" w:hAnsi="Arial" w:cs="Arial"/>
          <w:bCs/>
          <w:color w:val="000000"/>
          <w:sz w:val="24"/>
          <w:szCs w:val="24"/>
          <w:lang w:val="es-CO"/>
        </w:rPr>
        <w:t xml:space="preserve">Sumado a lo anterior, se debe verificar las series que posiblemente no tienen relación con la serie </w:t>
      </w:r>
      <w:proofErr w:type="gramStart"/>
      <w:r w:rsidRPr="006639EA">
        <w:rPr>
          <w:rFonts w:ascii="Arial" w:hAnsi="Arial" w:cs="Arial"/>
          <w:bCs/>
          <w:color w:val="000000"/>
          <w:sz w:val="24"/>
          <w:szCs w:val="24"/>
          <w:lang w:val="es-CO"/>
        </w:rPr>
        <w:t>DD.HH</w:t>
      </w:r>
      <w:proofErr w:type="gramEnd"/>
      <w:r w:rsidRPr="006639EA">
        <w:rPr>
          <w:rFonts w:ascii="Arial" w:hAnsi="Arial" w:cs="Arial"/>
          <w:bCs/>
          <w:color w:val="000000"/>
          <w:sz w:val="24"/>
          <w:szCs w:val="24"/>
          <w:lang w:val="es-CO"/>
        </w:rPr>
        <w:t xml:space="preserve"> o DIH, como se indicó en puntos anteriores.</w:t>
      </w:r>
    </w:p>
    <w:p w14:paraId="48802C7D" w14:textId="77777777" w:rsidR="006639EA" w:rsidRPr="006639EA" w:rsidRDefault="006639EA" w:rsidP="006639EA">
      <w:pPr>
        <w:spacing w:after="160"/>
        <w:jc w:val="both"/>
        <w:rPr>
          <w:rFonts w:ascii="Arial" w:hAnsi="Arial" w:cs="Arial"/>
          <w:b/>
          <w:color w:val="000000"/>
          <w:sz w:val="24"/>
          <w:szCs w:val="24"/>
          <w:lang w:val="es-CO"/>
        </w:rPr>
      </w:pPr>
      <w:r w:rsidRPr="006639EA">
        <w:rPr>
          <w:rFonts w:ascii="Arial" w:hAnsi="Arial" w:cs="Arial"/>
          <w:b/>
          <w:color w:val="000000"/>
          <w:sz w:val="24"/>
          <w:szCs w:val="24"/>
          <w:lang w:val="es-CO"/>
        </w:rPr>
        <w:t>Cumple parcialmente</w:t>
      </w:r>
    </w:p>
    <w:p w14:paraId="78379238"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b/>
          <w:bCs/>
          <w:color w:val="000000"/>
          <w:sz w:val="24"/>
          <w:szCs w:val="24"/>
          <w:lang w:val="es-CO"/>
        </w:rPr>
        <w:t>11.2 Asignar disposición final adecuada</w:t>
      </w:r>
      <w:r w:rsidRPr="006639EA">
        <w:rPr>
          <w:rFonts w:ascii="Arial" w:hAnsi="Arial" w:cs="Arial"/>
          <w:color w:val="000000"/>
          <w:sz w:val="24"/>
          <w:szCs w:val="24"/>
          <w:lang w:val="es-CO"/>
        </w:rPr>
        <w:t xml:space="preserve">, </w:t>
      </w:r>
      <w:r w:rsidRPr="006639EA">
        <w:rPr>
          <w:rFonts w:ascii="Arial" w:hAnsi="Arial" w:cs="Arial"/>
          <w:b/>
          <w:bCs/>
          <w:color w:val="000000"/>
          <w:sz w:val="24"/>
          <w:szCs w:val="24"/>
          <w:lang w:val="es-CO"/>
        </w:rPr>
        <w:t>priorizando la conservación permanente de documentos que puedan servir como prueba o memoria institucional.</w:t>
      </w:r>
    </w:p>
    <w:p w14:paraId="06F1743F" w14:textId="77777777" w:rsidR="006639EA" w:rsidRPr="006639EA" w:rsidRDefault="006639EA" w:rsidP="006639EA">
      <w:pPr>
        <w:spacing w:after="160"/>
        <w:jc w:val="both"/>
        <w:rPr>
          <w:rFonts w:ascii="Arial" w:hAnsi="Arial" w:cs="Arial"/>
          <w:color w:val="000000"/>
          <w:sz w:val="24"/>
          <w:szCs w:val="24"/>
        </w:rPr>
      </w:pPr>
      <w:r w:rsidRPr="006639EA">
        <w:rPr>
          <w:rFonts w:ascii="Arial" w:hAnsi="Arial" w:cs="Arial"/>
          <w:color w:val="000000"/>
          <w:sz w:val="24"/>
          <w:szCs w:val="24"/>
        </w:rPr>
        <w:t xml:space="preserve">En las TRD, se observa que algunas series o subseries marcadas con </w:t>
      </w:r>
      <w:proofErr w:type="gramStart"/>
      <w:r w:rsidRPr="006639EA">
        <w:rPr>
          <w:rFonts w:ascii="Arial" w:hAnsi="Arial" w:cs="Arial"/>
          <w:color w:val="000000"/>
          <w:sz w:val="24"/>
          <w:szCs w:val="24"/>
        </w:rPr>
        <w:t>DD.HH</w:t>
      </w:r>
      <w:proofErr w:type="gramEnd"/>
      <w:r w:rsidRPr="006639EA">
        <w:rPr>
          <w:rFonts w:ascii="Arial" w:hAnsi="Arial" w:cs="Arial"/>
          <w:color w:val="000000"/>
          <w:sz w:val="24"/>
          <w:szCs w:val="24"/>
        </w:rPr>
        <w:t xml:space="preserve">/DIH, se marcan con selección, lo que se contrapone con lo establecido para este tipo de series. </w:t>
      </w:r>
    </w:p>
    <w:p w14:paraId="780538C6" w14:textId="77777777" w:rsidR="006639EA" w:rsidRPr="006639EA" w:rsidRDefault="006639EA" w:rsidP="006639EA">
      <w:pPr>
        <w:spacing w:after="160"/>
        <w:jc w:val="both"/>
        <w:rPr>
          <w:rFonts w:ascii="Arial" w:hAnsi="Arial" w:cs="Arial"/>
          <w:b/>
          <w:bCs/>
          <w:color w:val="000000"/>
          <w:sz w:val="24"/>
          <w:szCs w:val="24"/>
          <w:lang w:val="es-CO"/>
        </w:rPr>
      </w:pPr>
      <w:r w:rsidRPr="006639EA">
        <w:rPr>
          <w:rFonts w:ascii="Arial" w:hAnsi="Arial" w:cs="Arial"/>
          <w:b/>
          <w:bCs/>
          <w:color w:val="000000"/>
          <w:sz w:val="24"/>
          <w:szCs w:val="24"/>
        </w:rPr>
        <w:lastRenderedPageBreak/>
        <w:t xml:space="preserve">No cumple </w:t>
      </w:r>
    </w:p>
    <w:p w14:paraId="7B60045A" w14:textId="77777777" w:rsidR="006639EA" w:rsidRPr="006639EA" w:rsidRDefault="006639EA" w:rsidP="006639EA">
      <w:pPr>
        <w:spacing w:after="160"/>
        <w:jc w:val="both"/>
        <w:rPr>
          <w:rFonts w:ascii="Arial" w:hAnsi="Arial" w:cs="Arial"/>
          <w:color w:val="000000"/>
          <w:sz w:val="24"/>
          <w:szCs w:val="24"/>
          <w:lang w:val="es-CO"/>
        </w:rPr>
      </w:pPr>
      <w:r w:rsidRPr="006639EA">
        <w:rPr>
          <w:rFonts w:ascii="Arial" w:hAnsi="Arial" w:cs="Arial"/>
          <w:b/>
          <w:bCs/>
          <w:color w:val="000000"/>
          <w:sz w:val="24"/>
          <w:szCs w:val="24"/>
          <w:lang w:val="es-CO"/>
        </w:rPr>
        <w:t>11.3 Evitar la eliminación de documentos</w:t>
      </w:r>
      <w:r w:rsidRPr="006639EA">
        <w:rPr>
          <w:rFonts w:ascii="Arial" w:hAnsi="Arial" w:cs="Arial"/>
          <w:color w:val="000000"/>
          <w:sz w:val="24"/>
          <w:szCs w:val="24"/>
          <w:lang w:val="es-CO"/>
        </w:rPr>
        <w:t xml:space="preserve"> </w:t>
      </w:r>
      <w:r w:rsidRPr="006639EA">
        <w:rPr>
          <w:rFonts w:ascii="Arial" w:hAnsi="Arial" w:cs="Arial"/>
          <w:b/>
          <w:bCs/>
          <w:color w:val="000000"/>
          <w:sz w:val="24"/>
          <w:szCs w:val="24"/>
          <w:lang w:val="es-CO"/>
        </w:rPr>
        <w:t>que puedan tener implicaciones en procesos judiciales, de verdad, justicia, reparación o no repetición.</w:t>
      </w:r>
    </w:p>
    <w:p w14:paraId="2D93FDC9" w14:textId="77777777" w:rsidR="006639EA" w:rsidRPr="006639EA" w:rsidRDefault="006639EA" w:rsidP="006639EA">
      <w:pPr>
        <w:spacing w:after="160"/>
        <w:jc w:val="both"/>
        <w:rPr>
          <w:rFonts w:ascii="Arial" w:hAnsi="Arial" w:cs="Arial"/>
          <w:color w:val="000000"/>
          <w:sz w:val="24"/>
          <w:szCs w:val="24"/>
        </w:rPr>
      </w:pPr>
      <w:r w:rsidRPr="006639EA">
        <w:rPr>
          <w:rFonts w:ascii="Arial" w:hAnsi="Arial" w:cs="Arial"/>
          <w:color w:val="000000"/>
          <w:sz w:val="24"/>
          <w:szCs w:val="24"/>
        </w:rPr>
        <w:t xml:space="preserve">Teniendo en cuenta lo anteriormente dicho, no es posible realizar una correcta evaluación del presente ítem de evaluación. </w:t>
      </w:r>
    </w:p>
    <w:p w14:paraId="0DCFE816" w14:textId="7A05E085" w:rsidR="006639EA" w:rsidRPr="006639EA" w:rsidRDefault="006639EA" w:rsidP="00E54106">
      <w:pPr>
        <w:spacing w:after="160"/>
        <w:jc w:val="both"/>
        <w:rPr>
          <w:rFonts w:ascii="Arial" w:hAnsi="Arial" w:cs="Arial"/>
          <w:b/>
          <w:bCs/>
          <w:color w:val="000000"/>
          <w:sz w:val="24"/>
          <w:szCs w:val="24"/>
        </w:rPr>
      </w:pPr>
      <w:r w:rsidRPr="006639EA">
        <w:rPr>
          <w:rFonts w:ascii="Arial" w:hAnsi="Arial" w:cs="Arial"/>
          <w:b/>
          <w:bCs/>
          <w:color w:val="000000"/>
          <w:sz w:val="24"/>
          <w:szCs w:val="24"/>
        </w:rPr>
        <w:t xml:space="preserve">Sin evaluar. </w:t>
      </w:r>
    </w:p>
    <w:p w14:paraId="43A0FA2C" w14:textId="3E6A446D" w:rsidR="00E54106" w:rsidRPr="006639EA" w:rsidRDefault="00E54106" w:rsidP="00E54106">
      <w:pPr>
        <w:spacing w:after="160"/>
        <w:jc w:val="both"/>
        <w:rPr>
          <w:rFonts w:ascii="Arial" w:hAnsi="Arial" w:cs="Arial"/>
          <w:b/>
          <w:color w:val="000000"/>
          <w:sz w:val="24"/>
          <w:szCs w:val="24"/>
        </w:rPr>
      </w:pPr>
      <w:r w:rsidRPr="006639EA">
        <w:rPr>
          <w:rFonts w:ascii="Arial" w:hAnsi="Arial" w:cs="Arial"/>
          <w:b/>
          <w:color w:val="000000"/>
          <w:sz w:val="24"/>
          <w:szCs w:val="24"/>
        </w:rPr>
        <w:t>CONCLUSIONES</w:t>
      </w:r>
    </w:p>
    <w:p w14:paraId="11AA452D" w14:textId="4645DD74" w:rsidR="00E54106" w:rsidRPr="006639EA" w:rsidRDefault="00E54106" w:rsidP="00E54106">
      <w:pPr>
        <w:spacing w:before="240" w:after="240"/>
        <w:jc w:val="both"/>
        <w:rPr>
          <w:rFonts w:ascii="Arial" w:hAnsi="Arial" w:cs="Arial"/>
          <w:sz w:val="24"/>
          <w:szCs w:val="24"/>
        </w:rPr>
      </w:pPr>
      <w:r w:rsidRPr="006639EA">
        <w:rPr>
          <w:rFonts w:ascii="Arial" w:hAnsi="Arial" w:cs="Arial"/>
          <w:color w:val="000000"/>
          <w:sz w:val="24"/>
          <w:szCs w:val="24"/>
        </w:rPr>
        <w:t xml:space="preserve">Por lo anteriormente expuesto se concluye que, la herramienta archivística: Tablas de Retención Documental - TRD presentada por </w:t>
      </w:r>
      <w:r w:rsidR="00AA5A17" w:rsidRPr="006639EA">
        <w:rPr>
          <w:rFonts w:ascii="Arial" w:hAnsi="Arial" w:cs="Arial"/>
          <w:color w:val="000000"/>
          <w:sz w:val="24"/>
          <w:szCs w:val="24"/>
        </w:rPr>
        <w:t xml:space="preserve">el Concejo de </w:t>
      </w:r>
      <w:r w:rsidR="006639EA" w:rsidRPr="006639EA">
        <w:rPr>
          <w:rFonts w:ascii="Arial" w:hAnsi="Arial" w:cs="Arial"/>
          <w:color w:val="000000"/>
          <w:sz w:val="24"/>
          <w:szCs w:val="24"/>
        </w:rPr>
        <w:t>Cachipay</w:t>
      </w:r>
      <w:r w:rsidRPr="006639EA">
        <w:rPr>
          <w:rFonts w:ascii="Arial" w:hAnsi="Arial" w:cs="Arial"/>
          <w:color w:val="000000"/>
          <w:sz w:val="24"/>
          <w:szCs w:val="24"/>
        </w:rPr>
        <w:t xml:space="preserve">, </w:t>
      </w:r>
      <w:r w:rsidRPr="006639EA">
        <w:rPr>
          <w:rFonts w:ascii="Arial" w:hAnsi="Arial" w:cs="Arial"/>
          <w:b/>
          <w:color w:val="000000"/>
          <w:sz w:val="24"/>
          <w:szCs w:val="24"/>
        </w:rPr>
        <w:t>NO CUMPLE</w:t>
      </w:r>
      <w:r w:rsidRPr="006639EA">
        <w:rPr>
          <w:rFonts w:ascii="Arial" w:hAnsi="Arial" w:cs="Arial"/>
          <w:color w:val="000000"/>
          <w:sz w:val="24"/>
          <w:szCs w:val="24"/>
        </w:rPr>
        <w:t xml:space="preserve"> con la totalidad de los requisitos técnicos definidos por el Acuerdo </w:t>
      </w:r>
      <w:r w:rsidR="00FE5DA2" w:rsidRPr="006639EA">
        <w:rPr>
          <w:rFonts w:ascii="Arial" w:hAnsi="Arial" w:cs="Arial"/>
          <w:color w:val="000000"/>
          <w:sz w:val="24"/>
          <w:szCs w:val="24"/>
        </w:rPr>
        <w:t>001</w:t>
      </w:r>
      <w:r w:rsidRPr="006639EA">
        <w:rPr>
          <w:rFonts w:ascii="Arial" w:hAnsi="Arial" w:cs="Arial"/>
          <w:color w:val="000000"/>
          <w:sz w:val="24"/>
          <w:szCs w:val="24"/>
        </w:rPr>
        <w:t xml:space="preserve"> de 20</w:t>
      </w:r>
      <w:r w:rsidR="00FE5DA2" w:rsidRPr="006639EA">
        <w:rPr>
          <w:rFonts w:ascii="Arial" w:hAnsi="Arial" w:cs="Arial"/>
          <w:color w:val="000000"/>
          <w:sz w:val="24"/>
          <w:szCs w:val="24"/>
        </w:rPr>
        <w:t>24</w:t>
      </w:r>
      <w:r w:rsidRPr="006639EA">
        <w:rPr>
          <w:rFonts w:ascii="Arial" w:hAnsi="Arial" w:cs="Arial"/>
          <w:color w:val="000000"/>
          <w:sz w:val="24"/>
          <w:szCs w:val="24"/>
        </w:rPr>
        <w:t>, expedido por el Archivo General de la Nación – AGN, y demás normas concordantes.</w:t>
      </w:r>
    </w:p>
    <w:p w14:paraId="44A39AA2" w14:textId="52EC2C26" w:rsidR="00E54106" w:rsidRPr="006639EA" w:rsidRDefault="00E54106" w:rsidP="00980747">
      <w:pPr>
        <w:spacing w:before="240" w:after="240"/>
        <w:jc w:val="both"/>
        <w:rPr>
          <w:rFonts w:ascii="Arial" w:hAnsi="Arial" w:cs="Arial"/>
          <w:b/>
          <w:color w:val="000000"/>
          <w:sz w:val="24"/>
          <w:szCs w:val="24"/>
        </w:rPr>
      </w:pPr>
      <w:r w:rsidRPr="006639EA">
        <w:rPr>
          <w:rFonts w:ascii="Arial" w:hAnsi="Arial" w:cs="Arial"/>
          <w:color w:val="000000"/>
          <w:sz w:val="24"/>
          <w:szCs w:val="24"/>
        </w:rPr>
        <w:t>Dentro del proceso de evaluación y análisis de la propuesta de Tabla de Retención Documental – TRD de</w:t>
      </w:r>
      <w:r w:rsidR="00AA5A17" w:rsidRPr="006639EA">
        <w:rPr>
          <w:rFonts w:ascii="Arial" w:hAnsi="Arial" w:cs="Arial"/>
          <w:color w:val="000000"/>
          <w:sz w:val="24"/>
          <w:szCs w:val="24"/>
        </w:rPr>
        <w:t xml:space="preserve">l Concejo de </w:t>
      </w:r>
      <w:r w:rsidR="006639EA" w:rsidRPr="006639EA">
        <w:rPr>
          <w:rFonts w:ascii="Arial" w:hAnsi="Arial" w:cs="Arial"/>
          <w:color w:val="000000"/>
          <w:sz w:val="24"/>
          <w:szCs w:val="24"/>
        </w:rPr>
        <w:t>Cachipay</w:t>
      </w:r>
      <w:r w:rsidRPr="006639EA">
        <w:rPr>
          <w:rFonts w:ascii="Arial" w:hAnsi="Arial" w:cs="Arial"/>
          <w:color w:val="000000"/>
          <w:sz w:val="24"/>
          <w:szCs w:val="24"/>
        </w:rPr>
        <w:t xml:space="preserve">, se concluye que el presente </w:t>
      </w:r>
      <w:r w:rsidR="00AA5A17" w:rsidRPr="006639EA">
        <w:rPr>
          <w:rFonts w:ascii="Arial" w:hAnsi="Arial" w:cs="Arial"/>
          <w:color w:val="000000"/>
          <w:sz w:val="24"/>
          <w:szCs w:val="24"/>
        </w:rPr>
        <w:t>informe</w:t>
      </w:r>
      <w:r w:rsidRPr="006639EA">
        <w:rPr>
          <w:rFonts w:ascii="Arial" w:hAnsi="Arial" w:cs="Arial"/>
          <w:color w:val="000000"/>
          <w:sz w:val="24"/>
          <w:szCs w:val="24"/>
        </w:rPr>
        <w:t xml:space="preserve"> técnico es </w:t>
      </w:r>
      <w:r w:rsidRPr="006639EA">
        <w:rPr>
          <w:rFonts w:ascii="Arial" w:hAnsi="Arial" w:cs="Arial"/>
          <w:b/>
          <w:color w:val="000000"/>
          <w:sz w:val="24"/>
          <w:szCs w:val="24"/>
        </w:rPr>
        <w:t>NO FAVORABLE.</w:t>
      </w:r>
    </w:p>
    <w:p w14:paraId="5DD8DBB0" w14:textId="1DB50E8F" w:rsidR="00E54106" w:rsidRPr="006639EA" w:rsidRDefault="00E54106" w:rsidP="00980747">
      <w:pPr>
        <w:spacing w:after="160"/>
        <w:jc w:val="both"/>
        <w:rPr>
          <w:rFonts w:ascii="Arial" w:hAnsi="Arial" w:cs="Arial"/>
          <w:color w:val="000000"/>
          <w:sz w:val="24"/>
          <w:szCs w:val="24"/>
        </w:rPr>
      </w:pPr>
      <w:r w:rsidRPr="006639EA">
        <w:rPr>
          <w:rFonts w:ascii="Arial" w:hAnsi="Arial" w:cs="Arial"/>
          <w:color w:val="000000"/>
          <w:sz w:val="24"/>
          <w:szCs w:val="24"/>
        </w:rPr>
        <w:t>Se deben realizar los ajustes pertinentes y cualquier otra modificación necesaria para asegurar que el instrumento cumpla con las normativas vigentes, así como con las normas relacionadas con la producción documental del AGN. </w:t>
      </w:r>
    </w:p>
    <w:p w14:paraId="7B48CFA4" w14:textId="2DA8F9E2" w:rsidR="00E54106" w:rsidRPr="001A6555" w:rsidRDefault="00E54106" w:rsidP="00AA5A17">
      <w:pPr>
        <w:spacing w:after="160"/>
        <w:jc w:val="both"/>
        <w:rPr>
          <w:rFonts w:ascii="Arial" w:hAnsi="Arial" w:cs="Arial"/>
          <w:sz w:val="24"/>
          <w:szCs w:val="24"/>
        </w:rPr>
      </w:pPr>
      <w:proofErr w:type="gramStart"/>
      <w:r w:rsidRPr="001A6555">
        <w:rPr>
          <w:rFonts w:ascii="Arial" w:hAnsi="Arial" w:cs="Arial"/>
          <w:b/>
          <w:color w:val="000000"/>
          <w:sz w:val="24"/>
          <w:szCs w:val="24"/>
        </w:rPr>
        <w:t>Firma evaluador</w:t>
      </w:r>
      <w:proofErr w:type="gramEnd"/>
      <w:r w:rsidRPr="001A6555">
        <w:rPr>
          <w:rFonts w:ascii="Arial" w:hAnsi="Arial" w:cs="Arial"/>
          <w:b/>
          <w:color w:val="000000"/>
          <w:sz w:val="24"/>
          <w:szCs w:val="24"/>
        </w:rPr>
        <w:t>:</w:t>
      </w:r>
    </w:p>
    <w:p w14:paraId="3352B22D" w14:textId="77777777" w:rsidR="00E54106" w:rsidRPr="001A6555" w:rsidRDefault="00E54106" w:rsidP="00E54106">
      <w:pPr>
        <w:rPr>
          <w:rFonts w:ascii="Arial" w:hAnsi="Arial" w:cs="Arial"/>
          <w:sz w:val="18"/>
          <w:szCs w:val="18"/>
        </w:rPr>
      </w:pPr>
      <w:r w:rsidRPr="001A6555">
        <w:rPr>
          <w:rFonts w:ascii="Arial" w:hAnsi="Arial" w:cs="Arial"/>
          <w:noProof/>
          <w:color w:val="000000"/>
          <w:sz w:val="18"/>
          <w:szCs w:val="18"/>
        </w:rPr>
        <w:drawing>
          <wp:inline distT="0" distB="0" distL="0" distR="0" wp14:anchorId="382ED3FB" wp14:editId="1278240B">
            <wp:extent cx="1763958" cy="1032562"/>
            <wp:effectExtent l="0" t="0" r="0" b="0"/>
            <wp:docPr id="1417578767"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8"/>
                    <a:srcRect r="87625" b="-5727"/>
                    <a:stretch>
                      <a:fillRect/>
                    </a:stretch>
                  </pic:blipFill>
                  <pic:spPr>
                    <a:xfrm>
                      <a:off x="0" y="0"/>
                      <a:ext cx="1763958" cy="1032562"/>
                    </a:xfrm>
                    <a:prstGeom prst="rect">
                      <a:avLst/>
                    </a:prstGeom>
                    <a:ln/>
                  </pic:spPr>
                </pic:pic>
              </a:graphicData>
            </a:graphic>
          </wp:inline>
        </w:drawing>
      </w:r>
    </w:p>
    <w:p w14:paraId="068A3BE6" w14:textId="77777777" w:rsidR="00E54106" w:rsidRPr="001A6555" w:rsidRDefault="00E54106" w:rsidP="00E54106">
      <w:pPr>
        <w:jc w:val="both"/>
        <w:rPr>
          <w:rFonts w:ascii="Arial" w:hAnsi="Arial" w:cs="Arial"/>
          <w:sz w:val="18"/>
          <w:szCs w:val="18"/>
        </w:rPr>
      </w:pPr>
      <w:r w:rsidRPr="001A6555">
        <w:rPr>
          <w:rFonts w:ascii="Arial" w:hAnsi="Arial" w:cs="Arial"/>
          <w:color w:val="000000"/>
          <w:sz w:val="18"/>
          <w:szCs w:val="18"/>
        </w:rPr>
        <w:t>JHON BAYRON BEDOYA SANDOVAL</w:t>
      </w:r>
    </w:p>
    <w:p w14:paraId="0375B8C8" w14:textId="1EFC7048" w:rsidR="00477CC8" w:rsidRPr="001A6555" w:rsidRDefault="00E54106" w:rsidP="00AA5A17">
      <w:pPr>
        <w:rPr>
          <w:rFonts w:ascii="Arial" w:hAnsi="Arial" w:cs="Arial"/>
          <w:b/>
          <w:color w:val="000000"/>
          <w:sz w:val="18"/>
          <w:szCs w:val="18"/>
        </w:rPr>
      </w:pPr>
      <w:r w:rsidRPr="001A6555">
        <w:rPr>
          <w:rFonts w:ascii="Arial" w:hAnsi="Arial" w:cs="Arial"/>
          <w:b/>
          <w:color w:val="000000"/>
          <w:sz w:val="18"/>
          <w:szCs w:val="18"/>
        </w:rPr>
        <w:t>HISTORIADOR</w:t>
      </w:r>
    </w:p>
    <w:p w14:paraId="0CEDADA6" w14:textId="22D94D9A" w:rsidR="00AA5A17" w:rsidRPr="001A6555" w:rsidRDefault="00AA5A17" w:rsidP="00AA5A17">
      <w:pPr>
        <w:rPr>
          <w:rFonts w:ascii="Arial" w:hAnsi="Arial" w:cs="Arial"/>
          <w:b/>
          <w:color w:val="000000"/>
          <w:sz w:val="18"/>
          <w:szCs w:val="18"/>
          <w:highlight w:val="yellow"/>
        </w:rPr>
      </w:pPr>
    </w:p>
    <w:p w14:paraId="3D410E9B" w14:textId="5D42AC74" w:rsidR="00AA5A17" w:rsidRPr="001A6555" w:rsidRDefault="00AA5A17" w:rsidP="00AA5A17">
      <w:pPr>
        <w:rPr>
          <w:rFonts w:ascii="Arial" w:hAnsi="Arial" w:cs="Arial"/>
          <w:b/>
          <w:color w:val="000000"/>
          <w:sz w:val="18"/>
          <w:szCs w:val="18"/>
          <w:highlight w:val="yellow"/>
        </w:rPr>
      </w:pPr>
    </w:p>
    <w:p w14:paraId="252C568D" w14:textId="77777777" w:rsidR="00AA5A17" w:rsidRPr="001A6555" w:rsidRDefault="00AA5A17" w:rsidP="00AA5A17">
      <w:pPr>
        <w:jc w:val="both"/>
        <w:rPr>
          <w:rFonts w:ascii="Arial" w:hAnsi="Arial" w:cs="Arial"/>
          <w:sz w:val="18"/>
          <w:szCs w:val="18"/>
          <w:highlight w:val="yellow"/>
        </w:rPr>
      </w:pPr>
    </w:p>
    <w:p w14:paraId="156D1E34" w14:textId="77777777" w:rsidR="00AA5A17" w:rsidRPr="001A6555" w:rsidRDefault="00AA5A17" w:rsidP="00AA5A17">
      <w:pPr>
        <w:jc w:val="both"/>
        <w:rPr>
          <w:rFonts w:ascii="Arial" w:hAnsi="Arial" w:cs="Arial"/>
          <w:sz w:val="18"/>
          <w:szCs w:val="18"/>
          <w:highlight w:val="yellow"/>
        </w:rPr>
      </w:pPr>
    </w:p>
    <w:p w14:paraId="46927C3D" w14:textId="77777777" w:rsidR="00B82720" w:rsidRPr="001A6555" w:rsidRDefault="00B82720" w:rsidP="00AA5A17">
      <w:pPr>
        <w:jc w:val="both"/>
        <w:rPr>
          <w:rFonts w:ascii="Arial" w:hAnsi="Arial" w:cs="Arial"/>
          <w:sz w:val="18"/>
          <w:szCs w:val="18"/>
          <w:highlight w:val="yellow"/>
        </w:rPr>
      </w:pPr>
    </w:p>
    <w:p w14:paraId="62C68E87" w14:textId="363DF71F" w:rsidR="00AA5A17" w:rsidRPr="00D303EF" w:rsidRDefault="00AA5A17" w:rsidP="00AA5A17">
      <w:pPr>
        <w:rPr>
          <w:rFonts w:ascii="Arial" w:hAnsi="Arial" w:cs="Arial"/>
          <w:sz w:val="24"/>
          <w:szCs w:val="24"/>
        </w:rPr>
      </w:pPr>
    </w:p>
    <w:sectPr w:rsidR="00AA5A17" w:rsidRPr="00D303EF">
      <w:headerReference w:type="default" r:id="rId9"/>
      <w:footerReference w:type="default" r:id="rId10"/>
      <w:pgSz w:w="12240" w:h="15840"/>
      <w:pgMar w:top="2126" w:right="1701" w:bottom="1701" w:left="1701" w:header="720" w:footer="91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B6E136" w14:textId="77777777" w:rsidR="00722455" w:rsidRDefault="00722455">
      <w:r>
        <w:separator/>
      </w:r>
    </w:p>
  </w:endnote>
  <w:endnote w:type="continuationSeparator" w:id="0">
    <w:p w14:paraId="4E7DCA48" w14:textId="77777777" w:rsidR="00722455" w:rsidRDefault="007224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Bitstream Vera Sans">
    <w:charset w:val="00"/>
    <w:family w:val="swiss"/>
    <w:pitch w:val="variable"/>
    <w:sig w:usb0="800000AF" w:usb1="1000204A" w:usb2="00000000" w:usb3="00000000" w:csb0="00000001" w:csb1="00000000"/>
  </w:font>
  <w:font w:name="CG Times">
    <w:altName w:val="Times New Roman"/>
    <w:charset w:val="00"/>
    <w:family w:val="roman"/>
    <w:pitch w:val="variable"/>
    <w:sig w:usb0="00000003" w:usb1="00000000" w:usb2="00000000" w:usb3="00000000" w:csb0="00000001" w:csb1="00000000"/>
    <w:embedItalic r:id="rId1" w:fontKey="{CAEFE6BB-DF68-4BE5-9B57-297D7F7BE2FB}"/>
    <w:embedBoldItalic r:id="rId2" w:fontKey="{3C424EA7-EBCE-47D7-9295-2C7322F2CA33}"/>
  </w:font>
  <w:font w:name="Tahoma">
    <w:panose1 w:val="020B0604030504040204"/>
    <w:charset w:val="00"/>
    <w:family w:val="swiss"/>
    <w:pitch w:val="variable"/>
    <w:sig w:usb0="E1002EFF" w:usb1="C000605B" w:usb2="00000029" w:usb3="00000000" w:csb0="000101FF" w:csb1="00000000"/>
    <w:embedRegular r:id="rId3" w:fontKey="{733B9E83-A8F0-4F7C-B8A3-CF91762E6121}"/>
    <w:embedBold r:id="rId4" w:fontKey="{5F27D413-236B-4709-BD79-CEAB7761C428}"/>
  </w:font>
  <w:font w:name="Bitstream Vera Serif">
    <w:charset w:val="00"/>
    <w:family w:val="roman"/>
    <w:pitch w:val="variable"/>
    <w:sig w:usb0="800000AF" w:usb1="1000204A" w:usb2="00000000" w:usb3="00000000" w:csb0="00000001" w:csb1="00000000"/>
  </w:font>
  <w:font w:name="Cambria">
    <w:panose1 w:val="02040503050406030204"/>
    <w:charset w:val="00"/>
    <w:family w:val="roman"/>
    <w:pitch w:val="variable"/>
    <w:sig w:usb0="E00006FF" w:usb1="420024FF" w:usb2="02000000" w:usb3="00000000" w:csb0="0000019F" w:csb1="00000000"/>
    <w:embedRegular r:id="rId5" w:fontKey="{0F18B33A-8B11-4312-B68E-161EF4E3021B}"/>
  </w:font>
  <w:font w:name="Georgia">
    <w:panose1 w:val="02040502050405020303"/>
    <w:charset w:val="00"/>
    <w:family w:val="roman"/>
    <w:pitch w:val="variable"/>
    <w:sig w:usb0="00000287" w:usb1="00000000" w:usb2="00000000" w:usb3="00000000" w:csb0="0000009F" w:csb1="00000000"/>
    <w:embedRegular r:id="rId6" w:fontKey="{FBF60609-FBFC-4364-BA5E-B9766E69F164}"/>
    <w:embedItalic r:id="rId7" w:fontKey="{D5703AA5-7B3C-45B0-BF28-336638918457}"/>
  </w:font>
  <w:font w:name="Gotham Narrow Book">
    <w:altName w:val="Tahoma"/>
    <w:panose1 w:val="00000000000000000000"/>
    <w:charset w:val="00"/>
    <w:family w:val="auto"/>
    <w:notTrueType/>
    <w:pitch w:val="variable"/>
    <w:sig w:usb0="A000007F" w:usb1="4000004A" w:usb2="00000000" w:usb3="00000000" w:csb0="0000009B" w:csb1="00000000"/>
  </w:font>
  <w:font w:name="Calibri">
    <w:panose1 w:val="020F0502020204030204"/>
    <w:charset w:val="00"/>
    <w:family w:val="swiss"/>
    <w:pitch w:val="variable"/>
    <w:sig w:usb0="E4002EFF" w:usb1="C200247B" w:usb2="00000009" w:usb3="00000000" w:csb0="000001FF" w:csb1="00000000"/>
    <w:embedRegular r:id="rId8" w:fontKey="{F123F994-ED90-44B8-ADB2-6AE87A2900E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2F15D" w14:textId="77777777" w:rsidR="00394479" w:rsidRDefault="00000000">
    <w:pPr>
      <w:pBdr>
        <w:top w:val="nil"/>
        <w:left w:val="nil"/>
        <w:bottom w:val="nil"/>
        <w:right w:val="nil"/>
        <w:between w:val="nil"/>
      </w:pBdr>
      <w:tabs>
        <w:tab w:val="center" w:pos="4252"/>
        <w:tab w:val="right" w:pos="8504"/>
        <w:tab w:val="left" w:pos="6400"/>
      </w:tabs>
      <w:rPr>
        <w:color w:val="000000"/>
      </w:rPr>
    </w:pPr>
    <w:r>
      <w:rPr>
        <w:noProof/>
      </w:rPr>
      <w:drawing>
        <wp:anchor distT="0" distB="0" distL="0" distR="0" simplePos="0" relativeHeight="251659264" behindDoc="1" locked="0" layoutInCell="1" hidden="0" allowOverlap="1" wp14:anchorId="4BF7CA3D" wp14:editId="31BBF9DB">
          <wp:simplePos x="0" y="0"/>
          <wp:positionH relativeFrom="column">
            <wp:posOffset>-1013460</wp:posOffset>
          </wp:positionH>
          <wp:positionV relativeFrom="paragraph">
            <wp:posOffset>-261621</wp:posOffset>
          </wp:positionV>
          <wp:extent cx="7721078" cy="1099185"/>
          <wp:effectExtent l="0" t="0" r="0" b="5715"/>
          <wp:wrapNone/>
          <wp:docPr id="194300740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7725970" cy="1099881"/>
                  </a:xfrm>
                  <a:prstGeom prst="rect">
                    <a:avLst/>
                  </a:prstGeom>
                  <a:ln/>
                </pic:spPr>
              </pic:pic>
            </a:graphicData>
          </a:graphic>
          <wp14:sizeRelV relativeFrom="margin">
            <wp14:pctHeight>0</wp14:pctHeight>
          </wp14:sizeRelV>
        </wp:anchor>
      </w:drawing>
    </w:r>
    <w:r>
      <w:rPr>
        <w:noProof/>
      </w:rPr>
      <mc:AlternateContent>
        <mc:Choice Requires="wps">
          <w:drawing>
            <wp:anchor distT="0" distB="0" distL="114300" distR="114300" simplePos="0" relativeHeight="251660288" behindDoc="0" locked="0" layoutInCell="1" hidden="0" allowOverlap="1" wp14:anchorId="04255261" wp14:editId="26D6066B">
              <wp:simplePos x="0" y="0"/>
              <wp:positionH relativeFrom="column">
                <wp:posOffset>3263900</wp:posOffset>
              </wp:positionH>
              <wp:positionV relativeFrom="paragraph">
                <wp:posOffset>-152399</wp:posOffset>
              </wp:positionV>
              <wp:extent cx="3438525" cy="581025"/>
              <wp:effectExtent l="0" t="0" r="0" b="0"/>
              <wp:wrapNone/>
              <wp:docPr id="5" name="Rectángulo 5"/>
              <wp:cNvGraphicFramePr/>
              <a:graphic xmlns:a="http://schemas.openxmlformats.org/drawingml/2006/main">
                <a:graphicData uri="http://schemas.microsoft.com/office/word/2010/wordprocessingShape">
                  <wps:wsp>
                    <wps:cNvSpPr/>
                    <wps:spPr>
                      <a:xfrm>
                        <a:off x="3631500" y="3494250"/>
                        <a:ext cx="3429000" cy="571500"/>
                      </a:xfrm>
                      <a:prstGeom prst="rect">
                        <a:avLst/>
                      </a:prstGeom>
                      <a:noFill/>
                      <a:ln>
                        <a:noFill/>
                      </a:ln>
                    </wps:spPr>
                    <wps:txbx>
                      <w:txbxContent>
                        <w:p w14:paraId="7BC0ECAB" w14:textId="77777777" w:rsidR="00394479" w:rsidRDefault="00000000">
                          <w:pPr>
                            <w:textDirection w:val="btLr"/>
                          </w:pPr>
                          <w:r>
                            <w:rPr>
                              <w:rFonts w:ascii="Gotham Narrow Book" w:eastAsia="Gotham Narrow Book" w:hAnsi="Gotham Narrow Book" w:cs="Gotham Narrow Book"/>
                              <w:color w:val="595959"/>
                              <w:sz w:val="17"/>
                            </w:rPr>
                            <w:t>Calle 26 #51-53 Bogotá D.C.</w:t>
                          </w:r>
                        </w:p>
                        <w:p w14:paraId="334445FF" w14:textId="77777777" w:rsidR="00394479" w:rsidRDefault="00000000">
                          <w:pPr>
                            <w:textDirection w:val="btLr"/>
                          </w:pPr>
                          <w:r>
                            <w:rPr>
                              <w:rFonts w:ascii="Gotham Narrow Book" w:eastAsia="Gotham Narrow Book" w:hAnsi="Gotham Narrow Book" w:cs="Gotham Narrow Book"/>
                              <w:color w:val="000000"/>
                              <w:sz w:val="17"/>
                            </w:rPr>
                            <w:t>Sede Administrativa</w:t>
                          </w:r>
                          <w:r>
                            <w:rPr>
                              <w:rFonts w:ascii="Gotham Narrow Book" w:eastAsia="Gotham Narrow Book" w:hAnsi="Gotham Narrow Book" w:cs="Gotham Narrow Book"/>
                              <w:color w:val="595959"/>
                              <w:sz w:val="17"/>
                            </w:rPr>
                            <w:t xml:space="preserve"> - Torre Central Piso 9.</w:t>
                          </w:r>
                        </w:p>
                        <w:p w14:paraId="5D3E1470" w14:textId="77777777" w:rsidR="00394479" w:rsidRDefault="00000000">
                          <w:pPr>
                            <w:textDirection w:val="btLr"/>
                          </w:pPr>
                          <w:r>
                            <w:rPr>
                              <w:rFonts w:ascii="Gotham Narrow Book" w:eastAsia="Gotham Narrow Book" w:hAnsi="Gotham Narrow Book" w:cs="Gotham Narrow Book"/>
                              <w:color w:val="595959"/>
                              <w:sz w:val="17"/>
                            </w:rPr>
                            <w:t>Código Postal: 111321 – Teléfono:  7490000</w:t>
                          </w:r>
                        </w:p>
                        <w:p w14:paraId="31A2ED7F" w14:textId="77777777" w:rsidR="00394479" w:rsidRDefault="00394479">
                          <w:pPr>
                            <w:spacing w:line="180" w:lineRule="auto"/>
                            <w:textDirection w:val="btLr"/>
                          </w:pPr>
                        </w:p>
                      </w:txbxContent>
                    </wps:txbx>
                    <wps:bodyPr spcFirstLastPara="1" wrap="square" lIns="91425" tIns="45700" rIns="91425" bIns="45700" anchor="t" anchorCtr="0">
                      <a:noAutofit/>
                    </wps:bodyPr>
                  </wps:wsp>
                </a:graphicData>
              </a:graphic>
            </wp:anchor>
          </w:drawing>
        </mc:Choice>
        <mc:Fallback>
          <w:pict>
            <v:rect w14:anchorId="04255261" id="Rectángulo 5" o:spid="_x0000_s1027" style="position:absolute;margin-left:257pt;margin-top:-12pt;width:270.75pt;height:45.7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" filled="f" stroked="f">
              <v:textbox inset="2.53958mm,1.2694mm,2.53958mm,1.2694mm">
                <w:txbxContent>
                  <w:p w14:paraId="7BC0ECAB" w14:textId="77777777" w:rsidR="00394479" w:rsidRDefault="00000000">
                    <w:pPr>
                      <w:textDirection w:val="btLr"/>
                    </w:pPr>
                    <w:r>
                      <w:rPr>
                        <w:rFonts w:ascii="Gotham Narrow Book" w:eastAsia="Gotham Narrow Book" w:hAnsi="Gotham Narrow Book" w:cs="Gotham Narrow Book"/>
                        <w:color w:val="595959"/>
                        <w:sz w:val="17"/>
                      </w:rPr>
                      <w:t>Calle 26 #51-53 Bogotá D.C.</w:t>
                    </w:r>
                  </w:p>
                  <w:p w14:paraId="334445FF" w14:textId="77777777" w:rsidR="00394479" w:rsidRDefault="00000000">
                    <w:pPr>
                      <w:textDirection w:val="btLr"/>
                    </w:pPr>
                    <w:r>
                      <w:rPr>
                        <w:rFonts w:ascii="Gotham Narrow Book" w:eastAsia="Gotham Narrow Book" w:hAnsi="Gotham Narrow Book" w:cs="Gotham Narrow Book"/>
                        <w:color w:val="000000"/>
                        <w:sz w:val="17"/>
                      </w:rPr>
                      <w:t>Sede Administrativa</w:t>
                    </w:r>
                    <w:r>
                      <w:rPr>
                        <w:rFonts w:ascii="Gotham Narrow Book" w:eastAsia="Gotham Narrow Book" w:hAnsi="Gotham Narrow Book" w:cs="Gotham Narrow Book"/>
                        <w:color w:val="595959"/>
                        <w:sz w:val="17"/>
                      </w:rPr>
                      <w:t xml:space="preserve"> - Torre Central Piso 9.</w:t>
                    </w:r>
                  </w:p>
                  <w:p w14:paraId="5D3E1470" w14:textId="77777777" w:rsidR="00394479" w:rsidRDefault="00000000">
                    <w:pPr>
                      <w:textDirection w:val="btLr"/>
                    </w:pPr>
                    <w:r>
                      <w:rPr>
                        <w:rFonts w:ascii="Gotham Narrow Book" w:eastAsia="Gotham Narrow Book" w:hAnsi="Gotham Narrow Book" w:cs="Gotham Narrow Book"/>
                        <w:color w:val="595959"/>
                        <w:sz w:val="17"/>
                      </w:rPr>
                      <w:t>Código Postal: 111321 – Teléfono:  7490000</w:t>
                    </w:r>
                  </w:p>
                  <w:p w14:paraId="31A2ED7F" w14:textId="77777777" w:rsidR="00394479" w:rsidRDefault="00394479">
                    <w:pPr>
                      <w:spacing w:line="180" w:lineRule="auto"/>
                      <w:textDirection w:val="btLr"/>
                    </w:pPr>
                  </w:p>
                </w:txbxContent>
              </v:textbox>
            </v:rect>
          </w:pict>
        </mc:Fallback>
      </mc:AlternateContent>
    </w:r>
  </w:p>
  <w:p w14:paraId="1E3250EF" w14:textId="77777777" w:rsidR="00394479" w:rsidRDefault="00394479">
    <w:pPr>
      <w:pBdr>
        <w:top w:val="nil"/>
        <w:left w:val="nil"/>
        <w:bottom w:val="nil"/>
        <w:right w:val="nil"/>
        <w:between w:val="nil"/>
      </w:pBdr>
      <w:tabs>
        <w:tab w:val="center" w:pos="4252"/>
        <w:tab w:val="right" w:pos="8504"/>
      </w:tabs>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B496DF" w14:textId="77777777" w:rsidR="00722455" w:rsidRDefault="00722455">
      <w:r>
        <w:separator/>
      </w:r>
    </w:p>
  </w:footnote>
  <w:footnote w:type="continuationSeparator" w:id="0">
    <w:p w14:paraId="5EACB38F" w14:textId="77777777" w:rsidR="00722455" w:rsidRDefault="007224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B6292" w14:textId="27449CA7" w:rsidR="00394479" w:rsidRDefault="00D13ECC">
    <w:pPr>
      <w:pBdr>
        <w:top w:val="nil"/>
        <w:left w:val="nil"/>
        <w:bottom w:val="nil"/>
        <w:right w:val="nil"/>
        <w:between w:val="nil"/>
      </w:pBdr>
      <w:tabs>
        <w:tab w:val="center" w:pos="4252"/>
        <w:tab w:val="right" w:pos="8504"/>
      </w:tabs>
      <w:ind w:left="708" w:firstLine="4956"/>
      <w:rPr>
        <w:color w:val="000000"/>
      </w:rPr>
    </w:pPr>
    <w:r w:rsidRPr="00D13ECC">
      <w:rPr>
        <w:noProof/>
        <w:color w:val="000000"/>
      </w:rPr>
      <mc:AlternateContent>
        <mc:Choice Requires="wps">
          <w:drawing>
            <wp:anchor distT="45720" distB="45720" distL="114300" distR="114300" simplePos="0" relativeHeight="251662336" behindDoc="0" locked="0" layoutInCell="1" allowOverlap="1" wp14:anchorId="0E3A6A1E" wp14:editId="30703FF1">
              <wp:simplePos x="0" y="0"/>
              <wp:positionH relativeFrom="page">
                <wp:align>right</wp:align>
              </wp:positionH>
              <wp:positionV relativeFrom="paragraph">
                <wp:posOffset>137160</wp:posOffset>
              </wp:positionV>
              <wp:extent cx="4732020" cy="1404620"/>
              <wp:effectExtent l="0" t="0" r="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2020" cy="1404620"/>
                      </a:xfrm>
                      <a:prstGeom prst="rect">
                        <a:avLst/>
                      </a:prstGeom>
                      <a:solidFill>
                        <a:srgbClr val="FFFFFF"/>
                      </a:solidFill>
                      <a:ln w="9525">
                        <a:noFill/>
                        <a:miter lim="800000"/>
                        <a:headEnd/>
                        <a:tailEnd/>
                      </a:ln>
                    </wps:spPr>
                    <wps:txbx>
                      <w:txbxContent>
                        <w:p w14:paraId="7E56FBB7" w14:textId="28595163" w:rsidR="00D13ECC" w:rsidRPr="005F71F8" w:rsidRDefault="005F71F8" w:rsidP="00D303EF">
                          <w:pPr>
                            <w:jc w:val="center"/>
                            <w:rPr>
                              <w:lang w:val="es-CO"/>
                            </w:rPr>
                          </w:pPr>
                          <w:r>
                            <w:rPr>
                              <w:noProof/>
                            </w:rPr>
                            <w:drawing>
                              <wp:inline distT="0" distB="0" distL="0" distR="0" wp14:anchorId="0593F9E4" wp14:editId="18E658C7">
                                <wp:extent cx="3333333" cy="438095"/>
                                <wp:effectExtent l="0" t="0" r="635" b="635"/>
                                <wp:docPr id="3684297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429799" name=""/>
                                        <pic:cNvPicPr/>
                                      </pic:nvPicPr>
                                      <pic:blipFill>
                                        <a:blip r:embed="rId1"/>
                                        <a:stretch>
                                          <a:fillRect/>
                                        </a:stretch>
                                      </pic:blipFill>
                                      <pic:spPr>
                                        <a:xfrm>
                                          <a:off x="0" y="0"/>
                                          <a:ext cx="3333333" cy="438095"/>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E3A6A1E" id="_x0000_t202" coordsize="21600,21600" o:spt="202" path="m,l,21600r21600,l21600,xe">
              <v:stroke joinstyle="miter"/>
              <v:path gradientshapeok="t" o:connecttype="rect"/>
            </v:shapetype>
            <v:shape id="Cuadro de texto 2" o:spid="_x0000_s1026" type="#_x0000_t202" style="position:absolute;left:0;text-align:left;margin-left:321.4pt;margin-top:10.8pt;width:372.6pt;height:110.6pt;z-index:251662336;visibility:visible;mso-wrap-style:square;mso-width-percent:0;mso-height-percent:200;mso-wrap-distance-left:9pt;mso-wrap-distance-top:3.6pt;mso-wrap-distance-right:9pt;mso-wrap-distance-bottom:3.6pt;mso-position-horizontal:right;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" stroked="f">
              <v:textbox style="mso-fit-shape-to-text:t">
                <w:txbxContent>
                  <w:p w14:paraId="7E56FBB7" w14:textId="28595163" w:rsidR="00D13ECC" w:rsidRPr="005F71F8" w:rsidRDefault="005F71F8" w:rsidP="00D303EF">
                    <w:pPr>
                      <w:jc w:val="center"/>
                      <w:rPr>
                        <w:lang w:val="es-CO"/>
                      </w:rPr>
                    </w:pPr>
                    <w:r>
                      <w:rPr>
                        <w:noProof/>
                      </w:rPr>
                      <w:drawing>
                        <wp:inline distT="0" distB="0" distL="0" distR="0" wp14:anchorId="0593F9E4" wp14:editId="18E658C7">
                          <wp:extent cx="3333333" cy="438095"/>
                          <wp:effectExtent l="0" t="0" r="635" b="635"/>
                          <wp:docPr id="3684297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429799" name=""/>
                                  <pic:cNvPicPr/>
                                </pic:nvPicPr>
                                <pic:blipFill>
                                  <a:blip r:embed="rId1"/>
                                  <a:stretch>
                                    <a:fillRect/>
                                  </a:stretch>
                                </pic:blipFill>
                                <pic:spPr>
                                  <a:xfrm>
                                    <a:off x="0" y="0"/>
                                    <a:ext cx="3333333" cy="438095"/>
                                  </a:xfrm>
                                  <a:prstGeom prst="rect">
                                    <a:avLst/>
                                  </a:prstGeom>
                                </pic:spPr>
                              </pic:pic>
                            </a:graphicData>
                          </a:graphic>
                        </wp:inline>
                      </w:drawing>
                    </w:r>
                  </w:p>
                </w:txbxContent>
              </v:textbox>
              <w10:wrap type="square" anchorx="page"/>
            </v:shape>
          </w:pict>
        </mc:Fallback>
      </mc:AlternateContent>
    </w:r>
    <w:r>
      <w:rPr>
        <w:noProof/>
      </w:rPr>
      <w:drawing>
        <wp:anchor distT="0" distB="0" distL="0" distR="0" simplePos="0" relativeHeight="251658240" behindDoc="1" locked="0" layoutInCell="1" hidden="0" allowOverlap="1" wp14:anchorId="2C0E1D51" wp14:editId="01D46DF2">
          <wp:simplePos x="0" y="0"/>
          <wp:positionH relativeFrom="column">
            <wp:posOffset>-897255</wp:posOffset>
          </wp:positionH>
          <wp:positionV relativeFrom="paragraph">
            <wp:posOffset>-358140</wp:posOffset>
          </wp:positionV>
          <wp:extent cx="3276600" cy="1242060"/>
          <wp:effectExtent l="0" t="0" r="0" b="0"/>
          <wp:wrapNone/>
          <wp:docPr id="213903574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
                  <a:srcRect b="8967"/>
                  <a:stretch>
                    <a:fillRect/>
                  </a:stretch>
                </pic:blipFill>
                <pic:spPr>
                  <a:xfrm>
                    <a:off x="0" y="0"/>
                    <a:ext cx="3278083" cy="1242622"/>
                  </a:xfrm>
                  <a:prstGeom prst="rect">
                    <a:avLst/>
                  </a:prstGeom>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D77DC"/>
    <w:multiLevelType w:val="multilevel"/>
    <w:tmpl w:val="CA0CA56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FE1F2B"/>
    <w:multiLevelType w:val="multilevel"/>
    <w:tmpl w:val="F75075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BF6BCB"/>
    <w:multiLevelType w:val="multilevel"/>
    <w:tmpl w:val="4CC45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516561"/>
    <w:multiLevelType w:val="multilevel"/>
    <w:tmpl w:val="02D042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C654014"/>
    <w:multiLevelType w:val="multilevel"/>
    <w:tmpl w:val="E0E2D034"/>
    <w:lvl w:ilvl="0">
      <w:start w:val="1"/>
      <w:numFmt w:val="decimal"/>
      <w:lvlText w:val="%1."/>
      <w:lvlJc w:val="left"/>
      <w:pPr>
        <w:ind w:left="360" w:hanging="360"/>
      </w:pPr>
    </w:lvl>
    <w:lvl w:ilvl="1">
      <w:start w:val="5"/>
      <w:numFmt w:val="decimal"/>
      <w:lvlText w:val="%1.%2."/>
      <w:lvlJc w:val="left"/>
      <w:pPr>
        <w:ind w:left="435" w:hanging="43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0C8502EF"/>
    <w:multiLevelType w:val="multilevel"/>
    <w:tmpl w:val="67CED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2F028F2"/>
    <w:multiLevelType w:val="multilevel"/>
    <w:tmpl w:val="11E01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62F44F4"/>
    <w:multiLevelType w:val="multilevel"/>
    <w:tmpl w:val="248EB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5AC6E69"/>
    <w:multiLevelType w:val="multilevel"/>
    <w:tmpl w:val="09A6A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7603A0E"/>
    <w:multiLevelType w:val="multilevel"/>
    <w:tmpl w:val="CB5E8DF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B051F0B"/>
    <w:multiLevelType w:val="multilevel"/>
    <w:tmpl w:val="65444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B0F0E1F"/>
    <w:multiLevelType w:val="multilevel"/>
    <w:tmpl w:val="B52E46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C590244"/>
    <w:multiLevelType w:val="multilevel"/>
    <w:tmpl w:val="399C912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3B271872"/>
    <w:multiLevelType w:val="multilevel"/>
    <w:tmpl w:val="07FC9678"/>
    <w:lvl w:ilvl="0">
      <w:start w:val="1"/>
      <w:numFmt w:val="decimal"/>
      <w:pStyle w:val="Listaconvietas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3B5D0E98"/>
    <w:multiLevelType w:val="multilevel"/>
    <w:tmpl w:val="049EA210"/>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45243A49"/>
    <w:multiLevelType w:val="multilevel"/>
    <w:tmpl w:val="919A4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4BF6836"/>
    <w:multiLevelType w:val="hybridMultilevel"/>
    <w:tmpl w:val="EBD601E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6B265785"/>
    <w:multiLevelType w:val="multilevel"/>
    <w:tmpl w:val="C7E0784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209919325">
    <w:abstractNumId w:val="13"/>
  </w:num>
  <w:num w:numId="2" w16cid:durableId="1746680577">
    <w:abstractNumId w:val="14"/>
  </w:num>
  <w:num w:numId="3" w16cid:durableId="2136482414">
    <w:abstractNumId w:val="12"/>
  </w:num>
  <w:num w:numId="4" w16cid:durableId="1447232885">
    <w:abstractNumId w:val="4"/>
  </w:num>
  <w:num w:numId="5" w16cid:durableId="1370228361">
    <w:abstractNumId w:val="3"/>
  </w:num>
  <w:num w:numId="6" w16cid:durableId="73088410">
    <w:abstractNumId w:val="17"/>
  </w:num>
  <w:num w:numId="7" w16cid:durableId="563374164">
    <w:abstractNumId w:val="5"/>
  </w:num>
  <w:num w:numId="8" w16cid:durableId="2133011438">
    <w:abstractNumId w:val="10"/>
  </w:num>
  <w:num w:numId="9" w16cid:durableId="782532245">
    <w:abstractNumId w:val="16"/>
  </w:num>
  <w:num w:numId="10" w16cid:durableId="285746710">
    <w:abstractNumId w:val="11"/>
  </w:num>
  <w:num w:numId="11" w16cid:durableId="1939635090">
    <w:abstractNumId w:val="0"/>
  </w:num>
  <w:num w:numId="12" w16cid:durableId="216744253">
    <w:abstractNumId w:val="2"/>
  </w:num>
  <w:num w:numId="13" w16cid:durableId="1461529900">
    <w:abstractNumId w:val="8"/>
  </w:num>
  <w:num w:numId="14" w16cid:durableId="2030981079">
    <w:abstractNumId w:val="9"/>
  </w:num>
  <w:num w:numId="15" w16cid:durableId="226232553">
    <w:abstractNumId w:val="6"/>
  </w:num>
  <w:num w:numId="16" w16cid:durableId="1282617048">
    <w:abstractNumId w:val="1"/>
  </w:num>
  <w:num w:numId="17" w16cid:durableId="17589625">
    <w:abstractNumId w:val="15"/>
  </w:num>
  <w:num w:numId="18" w16cid:durableId="146643567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4479"/>
    <w:rsid w:val="00020368"/>
    <w:rsid w:val="00022B2D"/>
    <w:rsid w:val="0006035A"/>
    <w:rsid w:val="00070B49"/>
    <w:rsid w:val="000B588E"/>
    <w:rsid w:val="000C27A3"/>
    <w:rsid w:val="000D636A"/>
    <w:rsid w:val="000F49BB"/>
    <w:rsid w:val="00121F60"/>
    <w:rsid w:val="00161E16"/>
    <w:rsid w:val="00176691"/>
    <w:rsid w:val="001A136A"/>
    <w:rsid w:val="001A6555"/>
    <w:rsid w:val="001E013E"/>
    <w:rsid w:val="001F340C"/>
    <w:rsid w:val="00271A21"/>
    <w:rsid w:val="0029555D"/>
    <w:rsid w:val="002B3E18"/>
    <w:rsid w:val="002B6146"/>
    <w:rsid w:val="002C65F2"/>
    <w:rsid w:val="003206B7"/>
    <w:rsid w:val="003611AB"/>
    <w:rsid w:val="00365A19"/>
    <w:rsid w:val="0037731A"/>
    <w:rsid w:val="00394479"/>
    <w:rsid w:val="003D45FF"/>
    <w:rsid w:val="003E1314"/>
    <w:rsid w:val="003F2519"/>
    <w:rsid w:val="00402727"/>
    <w:rsid w:val="0041177E"/>
    <w:rsid w:val="00454DB4"/>
    <w:rsid w:val="00477CC8"/>
    <w:rsid w:val="0048401E"/>
    <w:rsid w:val="004970CF"/>
    <w:rsid w:val="004C7DF2"/>
    <w:rsid w:val="004D353C"/>
    <w:rsid w:val="0051497C"/>
    <w:rsid w:val="00537188"/>
    <w:rsid w:val="00560BA8"/>
    <w:rsid w:val="00563E1F"/>
    <w:rsid w:val="005A3089"/>
    <w:rsid w:val="005C10E7"/>
    <w:rsid w:val="005E2E37"/>
    <w:rsid w:val="005E7845"/>
    <w:rsid w:val="005F71F8"/>
    <w:rsid w:val="006464AB"/>
    <w:rsid w:val="00647DFC"/>
    <w:rsid w:val="006523B4"/>
    <w:rsid w:val="006627C3"/>
    <w:rsid w:val="006639EA"/>
    <w:rsid w:val="006B2A0E"/>
    <w:rsid w:val="006C6377"/>
    <w:rsid w:val="006E0ED9"/>
    <w:rsid w:val="006F5C4C"/>
    <w:rsid w:val="00706E69"/>
    <w:rsid w:val="00722455"/>
    <w:rsid w:val="00754E6E"/>
    <w:rsid w:val="007838D7"/>
    <w:rsid w:val="007A6CD4"/>
    <w:rsid w:val="007B10D5"/>
    <w:rsid w:val="007D1335"/>
    <w:rsid w:val="007D6377"/>
    <w:rsid w:val="007F11E4"/>
    <w:rsid w:val="00810F84"/>
    <w:rsid w:val="00890D7F"/>
    <w:rsid w:val="008968FE"/>
    <w:rsid w:val="008A1099"/>
    <w:rsid w:val="008A2C44"/>
    <w:rsid w:val="008D3281"/>
    <w:rsid w:val="008E412B"/>
    <w:rsid w:val="008F2C88"/>
    <w:rsid w:val="00915C72"/>
    <w:rsid w:val="00921CD6"/>
    <w:rsid w:val="009433E7"/>
    <w:rsid w:val="009540B4"/>
    <w:rsid w:val="00957961"/>
    <w:rsid w:val="00962D98"/>
    <w:rsid w:val="00970FA8"/>
    <w:rsid w:val="00980747"/>
    <w:rsid w:val="009C7424"/>
    <w:rsid w:val="009D28C3"/>
    <w:rsid w:val="009D6F71"/>
    <w:rsid w:val="00A036F8"/>
    <w:rsid w:val="00A33039"/>
    <w:rsid w:val="00A57323"/>
    <w:rsid w:val="00AA0D88"/>
    <w:rsid w:val="00AA1F41"/>
    <w:rsid w:val="00AA5A17"/>
    <w:rsid w:val="00AD41CC"/>
    <w:rsid w:val="00AD55F8"/>
    <w:rsid w:val="00AE2B4B"/>
    <w:rsid w:val="00B20982"/>
    <w:rsid w:val="00B27B8F"/>
    <w:rsid w:val="00B42BB6"/>
    <w:rsid w:val="00B66537"/>
    <w:rsid w:val="00B82720"/>
    <w:rsid w:val="00B82F59"/>
    <w:rsid w:val="00B908DC"/>
    <w:rsid w:val="00BA7D51"/>
    <w:rsid w:val="00BD5E4D"/>
    <w:rsid w:val="00BE3559"/>
    <w:rsid w:val="00C03A33"/>
    <w:rsid w:val="00C376EC"/>
    <w:rsid w:val="00C37D6E"/>
    <w:rsid w:val="00CB280F"/>
    <w:rsid w:val="00CE4D82"/>
    <w:rsid w:val="00D03592"/>
    <w:rsid w:val="00D05B5D"/>
    <w:rsid w:val="00D13ECC"/>
    <w:rsid w:val="00D16103"/>
    <w:rsid w:val="00D303EF"/>
    <w:rsid w:val="00D37049"/>
    <w:rsid w:val="00D42D5D"/>
    <w:rsid w:val="00D631FE"/>
    <w:rsid w:val="00D7501E"/>
    <w:rsid w:val="00DC05F5"/>
    <w:rsid w:val="00DC339B"/>
    <w:rsid w:val="00DD325B"/>
    <w:rsid w:val="00DD3C09"/>
    <w:rsid w:val="00DF3E78"/>
    <w:rsid w:val="00E041DD"/>
    <w:rsid w:val="00E23B65"/>
    <w:rsid w:val="00E54106"/>
    <w:rsid w:val="00E54EC1"/>
    <w:rsid w:val="00EB218A"/>
    <w:rsid w:val="00EB5575"/>
    <w:rsid w:val="00EC518A"/>
    <w:rsid w:val="00EF0240"/>
    <w:rsid w:val="00F6057E"/>
    <w:rsid w:val="00F70592"/>
    <w:rsid w:val="00FA2073"/>
    <w:rsid w:val="00FA5ABE"/>
    <w:rsid w:val="00FE5DA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E1113A"/>
  <w15:docId w15:val="{6812E711-0067-4B6A-BD37-0042F80567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28C3"/>
    <w:rPr>
      <w:lang w:eastAsia="es-ES"/>
    </w:rPr>
  </w:style>
  <w:style w:type="paragraph" w:styleId="Ttulo1">
    <w:name w:val="heading 1"/>
    <w:basedOn w:val="Normal"/>
    <w:next w:val="Normal"/>
    <w:link w:val="Ttulo1Car"/>
    <w:uiPriority w:val="9"/>
    <w:qFormat/>
    <w:rsid w:val="00E1538D"/>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iPriority w:val="9"/>
    <w:unhideWhenUsed/>
    <w:qFormat/>
    <w:rsid w:val="00E1538D"/>
    <w:pPr>
      <w:keepNext/>
      <w:widowControl w:val="0"/>
      <w:tabs>
        <w:tab w:val="num" w:pos="0"/>
      </w:tabs>
      <w:suppressAutoHyphens/>
      <w:jc w:val="center"/>
      <w:outlineLvl w:val="1"/>
    </w:pPr>
    <w:rPr>
      <w:rFonts w:ascii="Arial" w:eastAsia="Bitstream Vera Sans" w:hAnsi="Arial"/>
      <w:b/>
      <w:sz w:val="24"/>
      <w:lang w:val="es-CO"/>
    </w:rPr>
  </w:style>
  <w:style w:type="paragraph" w:styleId="Ttulo3">
    <w:name w:val="heading 3"/>
    <w:basedOn w:val="Normal"/>
    <w:next w:val="Normal"/>
    <w:link w:val="Ttulo3Car"/>
    <w:uiPriority w:val="9"/>
    <w:semiHidden/>
    <w:unhideWhenUsed/>
    <w:qFormat/>
    <w:rsid w:val="00E1538D"/>
    <w:pPr>
      <w:keepNext/>
      <w:spacing w:before="240" w:after="60"/>
      <w:outlineLvl w:val="2"/>
    </w:pPr>
    <w:rPr>
      <w:rFonts w:ascii="Arial" w:hAnsi="Arial" w:cs="Arial"/>
      <w:b/>
      <w:bCs/>
      <w:sz w:val="26"/>
      <w:szCs w:val="26"/>
    </w:rPr>
  </w:style>
  <w:style w:type="paragraph" w:styleId="Ttulo4">
    <w:name w:val="heading 4"/>
    <w:basedOn w:val="Normal"/>
    <w:next w:val="Normal"/>
    <w:link w:val="Ttulo4Car"/>
    <w:uiPriority w:val="9"/>
    <w:semiHidden/>
    <w:unhideWhenUsed/>
    <w:qFormat/>
    <w:rsid w:val="00E1538D"/>
    <w:pPr>
      <w:keepNext/>
      <w:spacing w:before="240" w:after="60"/>
      <w:outlineLvl w:val="3"/>
    </w:pPr>
    <w:rPr>
      <w:b/>
      <w:bCs/>
      <w:sz w:val="28"/>
      <w:szCs w:val="28"/>
    </w:rPr>
  </w:style>
  <w:style w:type="paragraph" w:styleId="Ttulo5">
    <w:name w:val="heading 5"/>
    <w:basedOn w:val="Normal"/>
    <w:next w:val="Normal"/>
    <w:link w:val="Ttulo5Car"/>
    <w:uiPriority w:val="9"/>
    <w:semiHidden/>
    <w:unhideWhenUsed/>
    <w:qFormat/>
    <w:rsid w:val="00E1538D"/>
    <w:pPr>
      <w:keepNext/>
      <w:outlineLvl w:val="4"/>
    </w:pPr>
    <w:rPr>
      <w:i/>
      <w:sz w:val="19"/>
      <w:u w:val="single"/>
    </w:rPr>
  </w:style>
  <w:style w:type="paragraph" w:styleId="Ttulo6">
    <w:name w:val="heading 6"/>
    <w:basedOn w:val="Normal"/>
    <w:next w:val="Normal"/>
    <w:link w:val="Ttulo6Car"/>
    <w:uiPriority w:val="9"/>
    <w:semiHidden/>
    <w:unhideWhenUsed/>
    <w:qFormat/>
    <w:rsid w:val="00E1538D"/>
    <w:pPr>
      <w:keepNext/>
      <w:outlineLvl w:val="5"/>
    </w:pPr>
    <w:rPr>
      <w:rFonts w:ascii="CG Times" w:hAnsi="CG Times"/>
      <w:i/>
      <w:u w:val="single"/>
    </w:rPr>
  </w:style>
  <w:style w:type="paragraph" w:styleId="Ttulo7">
    <w:name w:val="heading 7"/>
    <w:basedOn w:val="Normal"/>
    <w:next w:val="Normal"/>
    <w:link w:val="Ttulo7Car"/>
    <w:qFormat/>
    <w:rsid w:val="00E1538D"/>
    <w:pPr>
      <w:keepNext/>
      <w:outlineLvl w:val="6"/>
    </w:pPr>
    <w:rPr>
      <w:rFonts w:ascii="CG Times" w:hAnsi="CG Times"/>
      <w:b/>
      <w:i/>
      <w:sz w:val="21"/>
      <w:u w:val="single"/>
    </w:rPr>
  </w:style>
  <w:style w:type="paragraph" w:styleId="Ttulo8">
    <w:name w:val="heading 8"/>
    <w:basedOn w:val="Normal"/>
    <w:next w:val="Normal"/>
    <w:link w:val="Ttulo8Car"/>
    <w:qFormat/>
    <w:rsid w:val="00E1538D"/>
    <w:pPr>
      <w:keepNext/>
      <w:outlineLvl w:val="7"/>
    </w:pPr>
    <w:rPr>
      <w:rFonts w:ascii="CG Times" w:hAnsi="CG Times"/>
      <w:i/>
      <w:sz w:val="21"/>
    </w:rPr>
  </w:style>
  <w:style w:type="paragraph" w:styleId="Ttulo9">
    <w:name w:val="heading 9"/>
    <w:basedOn w:val="Normal"/>
    <w:next w:val="Normal"/>
    <w:link w:val="Ttulo9Car"/>
    <w:qFormat/>
    <w:rsid w:val="00E1538D"/>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link w:val="TtuloCar"/>
    <w:uiPriority w:val="10"/>
    <w:qFormat/>
    <w:rsid w:val="00E1538D"/>
    <w:pPr>
      <w:jc w:val="center"/>
    </w:pPr>
    <w:rPr>
      <w:rFonts w:ascii="Tahoma" w:hAnsi="Tahoma"/>
      <w:b/>
      <w:sz w:val="24"/>
    </w:rPr>
  </w:style>
  <w:style w:type="paragraph" w:styleId="Encabezado">
    <w:name w:val="header"/>
    <w:basedOn w:val="Normal"/>
    <w:link w:val="EncabezadoCar"/>
    <w:rsid w:val="00C820B0"/>
    <w:pPr>
      <w:tabs>
        <w:tab w:val="center" w:pos="4252"/>
        <w:tab w:val="right" w:pos="8504"/>
      </w:tabs>
    </w:pPr>
  </w:style>
  <w:style w:type="character" w:customStyle="1" w:styleId="EncabezadoCar">
    <w:name w:val="Encabezado Car"/>
    <w:basedOn w:val="Fuentedeprrafopredeter"/>
    <w:link w:val="Encabezado"/>
    <w:rsid w:val="00C820B0"/>
    <w:rPr>
      <w:rFonts w:ascii="Times New Roman" w:eastAsia="Times New Roman" w:hAnsi="Times New Roman" w:cs="Times New Roman"/>
      <w:sz w:val="20"/>
      <w:szCs w:val="20"/>
      <w:lang w:val="es-ES" w:eastAsia="es-ES"/>
    </w:rPr>
  </w:style>
  <w:style w:type="paragraph" w:styleId="Piedepgina">
    <w:name w:val="footer"/>
    <w:basedOn w:val="Normal"/>
    <w:link w:val="PiedepginaCar"/>
    <w:rsid w:val="00C820B0"/>
    <w:pPr>
      <w:tabs>
        <w:tab w:val="center" w:pos="4252"/>
        <w:tab w:val="right" w:pos="8504"/>
      </w:tabs>
    </w:pPr>
  </w:style>
  <w:style w:type="character" w:customStyle="1" w:styleId="PiedepginaCar">
    <w:name w:val="Pie de página Car"/>
    <w:basedOn w:val="Fuentedeprrafopredeter"/>
    <w:link w:val="Piedepgina"/>
    <w:rsid w:val="00C820B0"/>
    <w:rPr>
      <w:rFonts w:ascii="Times New Roman" w:eastAsia="Times New Roman" w:hAnsi="Times New Roman" w:cs="Times New Roman"/>
      <w:sz w:val="20"/>
      <w:szCs w:val="20"/>
      <w:lang w:val="es-ES" w:eastAsia="es-ES"/>
    </w:rPr>
  </w:style>
  <w:style w:type="paragraph" w:styleId="Textodeglobo">
    <w:name w:val="Balloon Text"/>
    <w:basedOn w:val="Normal"/>
    <w:link w:val="TextodegloboCar"/>
    <w:uiPriority w:val="99"/>
    <w:semiHidden/>
    <w:unhideWhenUsed/>
    <w:rsid w:val="00C820B0"/>
    <w:rPr>
      <w:rFonts w:ascii="Tahoma" w:hAnsi="Tahoma" w:cs="Tahoma"/>
      <w:sz w:val="16"/>
      <w:szCs w:val="16"/>
    </w:rPr>
  </w:style>
  <w:style w:type="character" w:customStyle="1" w:styleId="TextodegloboCar">
    <w:name w:val="Texto de globo Car"/>
    <w:basedOn w:val="Fuentedeprrafopredeter"/>
    <w:link w:val="Textodeglobo"/>
    <w:uiPriority w:val="99"/>
    <w:semiHidden/>
    <w:rsid w:val="00C820B0"/>
    <w:rPr>
      <w:rFonts w:ascii="Tahoma" w:eastAsia="Times New Roman" w:hAnsi="Tahoma" w:cs="Tahoma"/>
      <w:sz w:val="16"/>
      <w:szCs w:val="16"/>
      <w:lang w:val="es-ES" w:eastAsia="es-ES"/>
    </w:rPr>
  </w:style>
  <w:style w:type="paragraph" w:styleId="Prrafodelista">
    <w:name w:val="List Paragraph"/>
    <w:basedOn w:val="Normal"/>
    <w:uiPriority w:val="34"/>
    <w:qFormat/>
    <w:rsid w:val="00FE76A4"/>
    <w:pPr>
      <w:ind w:left="720"/>
      <w:contextualSpacing/>
    </w:pPr>
  </w:style>
  <w:style w:type="character" w:customStyle="1" w:styleId="Ttulo1Car">
    <w:name w:val="Título 1 Car"/>
    <w:basedOn w:val="Fuentedeprrafopredeter"/>
    <w:link w:val="Ttulo1"/>
    <w:rsid w:val="00E1538D"/>
    <w:rPr>
      <w:rFonts w:ascii="Arial" w:eastAsia="Times New Roman" w:hAnsi="Arial" w:cs="Arial"/>
      <w:b/>
      <w:bCs/>
      <w:kern w:val="32"/>
      <w:sz w:val="32"/>
      <w:szCs w:val="32"/>
      <w:lang w:val="es-ES" w:eastAsia="es-ES"/>
    </w:rPr>
  </w:style>
  <w:style w:type="character" w:customStyle="1" w:styleId="Ttulo2Car">
    <w:name w:val="Título 2 Car"/>
    <w:basedOn w:val="Fuentedeprrafopredeter"/>
    <w:link w:val="Ttulo2"/>
    <w:rsid w:val="00E1538D"/>
    <w:rPr>
      <w:rFonts w:ascii="Arial" w:eastAsia="Bitstream Vera Sans" w:hAnsi="Arial" w:cs="Times New Roman"/>
      <w:b/>
      <w:sz w:val="24"/>
      <w:szCs w:val="20"/>
      <w:lang w:eastAsia="es-ES"/>
    </w:rPr>
  </w:style>
  <w:style w:type="character" w:customStyle="1" w:styleId="Ttulo3Car">
    <w:name w:val="Título 3 Car"/>
    <w:basedOn w:val="Fuentedeprrafopredeter"/>
    <w:link w:val="Ttulo3"/>
    <w:rsid w:val="00E1538D"/>
    <w:rPr>
      <w:rFonts w:ascii="Arial" w:eastAsia="Times New Roman" w:hAnsi="Arial" w:cs="Arial"/>
      <w:b/>
      <w:bCs/>
      <w:sz w:val="26"/>
      <w:szCs w:val="26"/>
      <w:lang w:val="es-ES" w:eastAsia="es-ES"/>
    </w:rPr>
  </w:style>
  <w:style w:type="character" w:customStyle="1" w:styleId="Ttulo4Car">
    <w:name w:val="Título 4 Car"/>
    <w:basedOn w:val="Fuentedeprrafopredeter"/>
    <w:link w:val="Ttulo4"/>
    <w:rsid w:val="00E1538D"/>
    <w:rPr>
      <w:rFonts w:ascii="Times New Roman" w:eastAsia="Times New Roman" w:hAnsi="Times New Roman" w:cs="Times New Roman"/>
      <w:b/>
      <w:bCs/>
      <w:sz w:val="28"/>
      <w:szCs w:val="28"/>
      <w:lang w:val="es-ES" w:eastAsia="es-ES"/>
    </w:rPr>
  </w:style>
  <w:style w:type="character" w:customStyle="1" w:styleId="Ttulo5Car">
    <w:name w:val="Título 5 Car"/>
    <w:basedOn w:val="Fuentedeprrafopredeter"/>
    <w:link w:val="Ttulo5"/>
    <w:rsid w:val="00E1538D"/>
    <w:rPr>
      <w:rFonts w:ascii="Times New Roman" w:eastAsia="Times New Roman" w:hAnsi="Times New Roman" w:cs="Times New Roman"/>
      <w:i/>
      <w:sz w:val="19"/>
      <w:szCs w:val="20"/>
      <w:u w:val="single"/>
      <w:lang w:val="es-ES" w:eastAsia="es-ES"/>
    </w:rPr>
  </w:style>
  <w:style w:type="character" w:customStyle="1" w:styleId="Ttulo6Car">
    <w:name w:val="Título 6 Car"/>
    <w:basedOn w:val="Fuentedeprrafopredeter"/>
    <w:link w:val="Ttulo6"/>
    <w:rsid w:val="00E1538D"/>
    <w:rPr>
      <w:rFonts w:ascii="CG Times" w:eastAsia="Times New Roman" w:hAnsi="CG Times" w:cs="Times New Roman"/>
      <w:i/>
      <w:sz w:val="20"/>
      <w:szCs w:val="20"/>
      <w:u w:val="single"/>
      <w:lang w:val="es-ES" w:eastAsia="es-ES"/>
    </w:rPr>
  </w:style>
  <w:style w:type="character" w:customStyle="1" w:styleId="Ttulo7Car">
    <w:name w:val="Título 7 Car"/>
    <w:basedOn w:val="Fuentedeprrafopredeter"/>
    <w:link w:val="Ttulo7"/>
    <w:rsid w:val="00E1538D"/>
    <w:rPr>
      <w:rFonts w:ascii="CG Times" w:eastAsia="Times New Roman" w:hAnsi="CG Times" w:cs="Times New Roman"/>
      <w:b/>
      <w:i/>
      <w:sz w:val="21"/>
      <w:szCs w:val="20"/>
      <w:u w:val="single"/>
      <w:lang w:val="es-ES" w:eastAsia="es-ES"/>
    </w:rPr>
  </w:style>
  <w:style w:type="character" w:customStyle="1" w:styleId="Ttulo8Car">
    <w:name w:val="Título 8 Car"/>
    <w:basedOn w:val="Fuentedeprrafopredeter"/>
    <w:link w:val="Ttulo8"/>
    <w:rsid w:val="00E1538D"/>
    <w:rPr>
      <w:rFonts w:ascii="CG Times" w:eastAsia="Times New Roman" w:hAnsi="CG Times" w:cs="Times New Roman"/>
      <w:i/>
      <w:sz w:val="21"/>
      <w:szCs w:val="20"/>
      <w:lang w:val="es-ES" w:eastAsia="es-ES"/>
    </w:rPr>
  </w:style>
  <w:style w:type="character" w:customStyle="1" w:styleId="Ttulo9Car">
    <w:name w:val="Título 9 Car"/>
    <w:basedOn w:val="Fuentedeprrafopredeter"/>
    <w:link w:val="Ttulo9"/>
    <w:rsid w:val="00E1538D"/>
    <w:rPr>
      <w:rFonts w:ascii="Arial" w:eastAsia="Times New Roman" w:hAnsi="Arial" w:cs="Arial"/>
      <w:lang w:val="es-ES" w:eastAsia="es-ES"/>
    </w:rPr>
  </w:style>
  <w:style w:type="paragraph" w:customStyle="1" w:styleId="Textoindependiente21">
    <w:name w:val="Texto independiente 21"/>
    <w:basedOn w:val="Normal"/>
    <w:rsid w:val="00E1538D"/>
    <w:pPr>
      <w:widowControl w:val="0"/>
      <w:tabs>
        <w:tab w:val="left" w:pos="8647"/>
      </w:tabs>
      <w:suppressAutoHyphens/>
      <w:jc w:val="both"/>
    </w:pPr>
    <w:rPr>
      <w:rFonts w:ascii="CG Times" w:eastAsia="Bitstream Vera Sans" w:hAnsi="CG Times"/>
      <w:i/>
      <w:sz w:val="24"/>
      <w:lang w:val="es-CO"/>
    </w:rPr>
  </w:style>
  <w:style w:type="paragraph" w:styleId="Textoindependiente2">
    <w:name w:val="Body Text 2"/>
    <w:basedOn w:val="Normal"/>
    <w:link w:val="Textoindependiente2Car"/>
    <w:rsid w:val="00E1538D"/>
    <w:pPr>
      <w:widowControl w:val="0"/>
      <w:suppressAutoHyphens/>
      <w:spacing w:after="120" w:line="480" w:lineRule="auto"/>
    </w:pPr>
    <w:rPr>
      <w:rFonts w:ascii="Bitstream Vera Serif" w:eastAsia="Bitstream Vera Sans" w:hAnsi="Bitstream Vera Serif"/>
      <w:sz w:val="24"/>
      <w:lang w:val="es-CO"/>
    </w:rPr>
  </w:style>
  <w:style w:type="character" w:customStyle="1" w:styleId="Textoindependiente2Car">
    <w:name w:val="Texto independiente 2 Car"/>
    <w:basedOn w:val="Fuentedeprrafopredeter"/>
    <w:link w:val="Textoindependiente2"/>
    <w:rsid w:val="00E1538D"/>
    <w:rPr>
      <w:rFonts w:ascii="Bitstream Vera Serif" w:eastAsia="Bitstream Vera Sans" w:hAnsi="Bitstream Vera Serif" w:cs="Times New Roman"/>
      <w:sz w:val="24"/>
      <w:szCs w:val="20"/>
      <w:lang w:eastAsia="es-ES"/>
    </w:rPr>
  </w:style>
  <w:style w:type="paragraph" w:customStyle="1" w:styleId="Textoindependiente31">
    <w:name w:val="Texto independiente 31"/>
    <w:basedOn w:val="Normal"/>
    <w:rsid w:val="00E1538D"/>
    <w:pPr>
      <w:widowControl w:val="0"/>
      <w:suppressAutoHyphens/>
    </w:pPr>
    <w:rPr>
      <w:rFonts w:ascii="Bitstream Vera Serif" w:eastAsia="Bitstream Vera Sans" w:hAnsi="Bitstream Vera Serif"/>
      <w:sz w:val="28"/>
      <w:lang w:val="es-CO"/>
    </w:rPr>
  </w:style>
  <w:style w:type="character" w:styleId="Hipervnculo">
    <w:name w:val="Hyperlink"/>
    <w:basedOn w:val="Fuentedeprrafopredeter"/>
    <w:uiPriority w:val="99"/>
    <w:rsid w:val="00E1538D"/>
    <w:rPr>
      <w:color w:val="0000FF"/>
      <w:u w:val="single"/>
    </w:rPr>
  </w:style>
  <w:style w:type="character" w:styleId="Hipervnculovisitado">
    <w:name w:val="FollowedHyperlink"/>
    <w:basedOn w:val="Fuentedeprrafopredeter"/>
    <w:uiPriority w:val="99"/>
    <w:rsid w:val="00E1538D"/>
    <w:rPr>
      <w:color w:val="800080"/>
      <w:u w:val="single"/>
    </w:rPr>
  </w:style>
  <w:style w:type="paragraph" w:customStyle="1" w:styleId="xl22">
    <w:name w:val="xl22"/>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sz w:val="24"/>
      <w:szCs w:val="24"/>
    </w:rPr>
  </w:style>
  <w:style w:type="paragraph" w:customStyle="1" w:styleId="xl23">
    <w:name w:val="xl23"/>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b/>
      <w:bCs/>
      <w:sz w:val="24"/>
      <w:szCs w:val="24"/>
    </w:rPr>
  </w:style>
  <w:style w:type="paragraph" w:customStyle="1" w:styleId="xl24">
    <w:name w:val="xl24"/>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b/>
      <w:bCs/>
      <w:sz w:val="24"/>
      <w:szCs w:val="24"/>
    </w:rPr>
  </w:style>
  <w:style w:type="paragraph" w:customStyle="1" w:styleId="xl25">
    <w:name w:val="xl25"/>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sz w:val="24"/>
      <w:szCs w:val="24"/>
    </w:rPr>
  </w:style>
  <w:style w:type="paragraph" w:customStyle="1" w:styleId="xl26">
    <w:name w:val="xl26"/>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sz w:val="24"/>
      <w:szCs w:val="24"/>
    </w:rPr>
  </w:style>
  <w:style w:type="character" w:styleId="Nmerodepgina">
    <w:name w:val="page number"/>
    <w:basedOn w:val="Fuentedeprrafopredeter"/>
    <w:rsid w:val="00E1538D"/>
  </w:style>
  <w:style w:type="paragraph" w:customStyle="1" w:styleId="xl27">
    <w:name w:val="xl27"/>
    <w:basedOn w:val="Normal"/>
    <w:rsid w:val="00E1538D"/>
    <w:pPr>
      <w:spacing w:before="100" w:beforeAutospacing="1" w:after="100" w:afterAutospacing="1"/>
    </w:pPr>
    <w:rPr>
      <w:rFonts w:ascii="Tahoma" w:hAnsi="Tahoma" w:cs="Tahoma"/>
      <w:b/>
      <w:bCs/>
      <w:color w:val="000000"/>
      <w:sz w:val="22"/>
      <w:szCs w:val="22"/>
    </w:rPr>
  </w:style>
  <w:style w:type="paragraph" w:customStyle="1" w:styleId="xl28">
    <w:name w:val="xl28"/>
    <w:basedOn w:val="Normal"/>
    <w:rsid w:val="00E1538D"/>
    <w:pPr>
      <w:spacing w:before="100" w:beforeAutospacing="1" w:after="100" w:afterAutospacing="1"/>
      <w:jc w:val="right"/>
    </w:pPr>
    <w:rPr>
      <w:rFonts w:ascii="Tahoma" w:hAnsi="Tahoma" w:cs="Tahoma"/>
      <w:color w:val="000000"/>
      <w:sz w:val="22"/>
      <w:szCs w:val="22"/>
    </w:rPr>
  </w:style>
  <w:style w:type="paragraph" w:customStyle="1" w:styleId="xl29">
    <w:name w:val="xl29"/>
    <w:basedOn w:val="Normal"/>
    <w:rsid w:val="00E1538D"/>
    <w:pPr>
      <w:spacing w:before="100" w:beforeAutospacing="1" w:after="100" w:afterAutospacing="1"/>
    </w:pPr>
    <w:rPr>
      <w:rFonts w:ascii="Tahoma" w:hAnsi="Tahoma" w:cs="Tahoma"/>
      <w:color w:val="000000"/>
      <w:sz w:val="22"/>
      <w:szCs w:val="22"/>
    </w:rPr>
  </w:style>
  <w:style w:type="paragraph" w:customStyle="1" w:styleId="xl30">
    <w:name w:val="xl30"/>
    <w:basedOn w:val="Normal"/>
    <w:rsid w:val="00E1538D"/>
    <w:pPr>
      <w:spacing w:before="100" w:beforeAutospacing="1" w:after="100" w:afterAutospacing="1"/>
    </w:pPr>
    <w:rPr>
      <w:rFonts w:ascii="Tahoma" w:hAnsi="Tahoma" w:cs="Tahoma"/>
      <w:sz w:val="22"/>
      <w:szCs w:val="22"/>
    </w:rPr>
  </w:style>
  <w:style w:type="paragraph" w:customStyle="1" w:styleId="xl31">
    <w:name w:val="xl31"/>
    <w:basedOn w:val="Normal"/>
    <w:rsid w:val="00E1538D"/>
    <w:pPr>
      <w:spacing w:before="100" w:beforeAutospacing="1" w:after="100" w:afterAutospacing="1"/>
      <w:jc w:val="right"/>
    </w:pPr>
    <w:rPr>
      <w:rFonts w:ascii="Tahoma" w:hAnsi="Tahoma" w:cs="Tahoma"/>
      <w:color w:val="000000"/>
      <w:sz w:val="22"/>
      <w:szCs w:val="22"/>
    </w:rPr>
  </w:style>
  <w:style w:type="paragraph" w:styleId="Textoindependiente3">
    <w:name w:val="Body Text 3"/>
    <w:basedOn w:val="Normal"/>
    <w:link w:val="Textoindependiente3Car"/>
    <w:rsid w:val="00E1538D"/>
    <w:rPr>
      <w:sz w:val="28"/>
    </w:rPr>
  </w:style>
  <w:style w:type="character" w:customStyle="1" w:styleId="Textoindependiente3Car">
    <w:name w:val="Texto independiente 3 Car"/>
    <w:basedOn w:val="Fuentedeprrafopredeter"/>
    <w:link w:val="Textoindependiente3"/>
    <w:rsid w:val="00E1538D"/>
    <w:rPr>
      <w:rFonts w:ascii="Times New Roman" w:eastAsia="Times New Roman" w:hAnsi="Times New Roman" w:cs="Times New Roman"/>
      <w:sz w:val="28"/>
      <w:szCs w:val="20"/>
      <w:lang w:val="es-ES" w:eastAsia="es-ES"/>
    </w:rPr>
  </w:style>
  <w:style w:type="paragraph" w:styleId="Textoindependiente">
    <w:name w:val="Body Text"/>
    <w:basedOn w:val="Normal"/>
    <w:link w:val="TextoindependienteCar"/>
    <w:rsid w:val="00E1538D"/>
    <w:pPr>
      <w:jc w:val="both"/>
    </w:pPr>
    <w:rPr>
      <w:i/>
    </w:rPr>
  </w:style>
  <w:style w:type="character" w:customStyle="1" w:styleId="TextoindependienteCar">
    <w:name w:val="Texto independiente Car"/>
    <w:basedOn w:val="Fuentedeprrafopredeter"/>
    <w:link w:val="Textoindependiente"/>
    <w:rsid w:val="00E1538D"/>
    <w:rPr>
      <w:rFonts w:ascii="Times New Roman" w:eastAsia="Times New Roman" w:hAnsi="Times New Roman" w:cs="Times New Roman"/>
      <w:i/>
      <w:sz w:val="20"/>
      <w:szCs w:val="20"/>
      <w:lang w:val="es-ES" w:eastAsia="es-ES"/>
    </w:rPr>
  </w:style>
  <w:style w:type="character" w:customStyle="1" w:styleId="TtuloCar">
    <w:name w:val="Título Car"/>
    <w:basedOn w:val="Fuentedeprrafopredeter"/>
    <w:link w:val="Ttulo"/>
    <w:rsid w:val="00E1538D"/>
    <w:rPr>
      <w:rFonts w:ascii="Tahoma" w:eastAsia="Times New Roman" w:hAnsi="Tahoma" w:cs="Times New Roman"/>
      <w:b/>
      <w:sz w:val="24"/>
      <w:szCs w:val="20"/>
      <w:lang w:val="es-ES" w:eastAsia="es-ES"/>
    </w:rPr>
  </w:style>
  <w:style w:type="paragraph" w:customStyle="1" w:styleId="xl65">
    <w:name w:val="xl65"/>
    <w:basedOn w:val="Normal"/>
    <w:rsid w:val="00E1538D"/>
    <w:pPr>
      <w:spacing w:before="100" w:beforeAutospacing="1" w:after="100" w:afterAutospacing="1"/>
    </w:pPr>
    <w:rPr>
      <w:rFonts w:ascii="Tahoma" w:hAnsi="Tahoma" w:cs="Tahoma"/>
      <w:sz w:val="18"/>
      <w:szCs w:val="18"/>
    </w:rPr>
  </w:style>
  <w:style w:type="paragraph" w:customStyle="1" w:styleId="xl66">
    <w:name w:val="xl66"/>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color w:val="000000"/>
      <w:sz w:val="18"/>
      <w:szCs w:val="18"/>
    </w:rPr>
  </w:style>
  <w:style w:type="paragraph" w:customStyle="1" w:styleId="xl67">
    <w:name w:val="xl67"/>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color w:val="000000"/>
      <w:sz w:val="18"/>
      <w:szCs w:val="18"/>
    </w:rPr>
  </w:style>
  <w:style w:type="paragraph" w:customStyle="1" w:styleId="xl68">
    <w:name w:val="xl68"/>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color w:val="000000"/>
      <w:sz w:val="18"/>
      <w:szCs w:val="18"/>
    </w:rPr>
  </w:style>
  <w:style w:type="paragraph" w:customStyle="1" w:styleId="xl63">
    <w:name w:val="xl63"/>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Arial" w:hAnsi="Arial" w:cs="Arial"/>
      <w:sz w:val="24"/>
      <w:szCs w:val="24"/>
    </w:rPr>
  </w:style>
  <w:style w:type="paragraph" w:customStyle="1" w:styleId="xl64">
    <w:name w:val="xl64"/>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Arial" w:hAnsi="Arial" w:cs="Arial"/>
      <w:sz w:val="24"/>
      <w:szCs w:val="24"/>
    </w:rPr>
  </w:style>
  <w:style w:type="paragraph" w:styleId="Lista">
    <w:name w:val="List"/>
    <w:basedOn w:val="Normal"/>
    <w:rsid w:val="00662BA3"/>
    <w:pPr>
      <w:ind w:left="283" w:hanging="283"/>
      <w:contextualSpacing/>
    </w:pPr>
    <w:rPr>
      <w:lang w:val="es-CO"/>
    </w:rPr>
  </w:style>
  <w:style w:type="paragraph" w:styleId="Listaconvietas2">
    <w:name w:val="List Bullet 2"/>
    <w:basedOn w:val="Normal"/>
    <w:unhideWhenUsed/>
    <w:rsid w:val="009A4D63"/>
    <w:pPr>
      <w:numPr>
        <w:numId w:val="1"/>
      </w:numPr>
      <w:contextualSpacing/>
    </w:pPr>
    <w:rPr>
      <w:lang w:val="es-CO"/>
    </w:rPr>
  </w:style>
  <w:style w:type="paragraph" w:styleId="Cierre">
    <w:name w:val="Closing"/>
    <w:basedOn w:val="Normal"/>
    <w:link w:val="CierreCar"/>
    <w:rsid w:val="003537A3"/>
    <w:pPr>
      <w:ind w:left="4252"/>
    </w:pPr>
    <w:rPr>
      <w:lang w:val="es-CO"/>
    </w:rPr>
  </w:style>
  <w:style w:type="character" w:customStyle="1" w:styleId="CierreCar">
    <w:name w:val="Cierre Car"/>
    <w:basedOn w:val="Fuentedeprrafopredeter"/>
    <w:link w:val="Cierre"/>
    <w:rsid w:val="003537A3"/>
    <w:rPr>
      <w:rFonts w:ascii="Times New Roman" w:eastAsia="Times New Roman" w:hAnsi="Times New Roman" w:cs="Times New Roman"/>
      <w:sz w:val="20"/>
      <w:szCs w:val="20"/>
      <w:lang w:eastAsia="es-ES"/>
    </w:rPr>
  </w:style>
  <w:style w:type="paragraph" w:styleId="Encabezadodemensaje">
    <w:name w:val="Message Header"/>
    <w:basedOn w:val="Normal"/>
    <w:link w:val="EncabezadodemensajeCar"/>
    <w:rsid w:val="009076D6"/>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sz w:val="24"/>
      <w:szCs w:val="24"/>
      <w:lang w:val="es-CO"/>
    </w:rPr>
  </w:style>
  <w:style w:type="character" w:customStyle="1" w:styleId="EncabezadodemensajeCar">
    <w:name w:val="Encabezado de mensaje Car"/>
    <w:basedOn w:val="Fuentedeprrafopredeter"/>
    <w:link w:val="Encabezadodemensaje"/>
    <w:rsid w:val="009076D6"/>
    <w:rPr>
      <w:rFonts w:ascii="Cambria" w:eastAsia="Times New Roman" w:hAnsi="Cambria" w:cs="Times New Roman"/>
      <w:sz w:val="24"/>
      <w:szCs w:val="24"/>
      <w:shd w:val="pct20" w:color="auto" w:fill="auto"/>
      <w:lang w:eastAsia="es-ES"/>
    </w:rPr>
  </w:style>
  <w:style w:type="paragraph" w:customStyle="1" w:styleId="Default">
    <w:name w:val="Default"/>
    <w:rsid w:val="004F0DC0"/>
    <w:pPr>
      <w:autoSpaceDE w:val="0"/>
      <w:autoSpaceDN w:val="0"/>
      <w:adjustRightInd w:val="0"/>
    </w:pPr>
    <w:rPr>
      <w:color w:val="000000"/>
      <w:sz w:val="24"/>
      <w:szCs w:val="24"/>
    </w:rPr>
  </w:style>
  <w:style w:type="paragraph" w:styleId="Sinespaciado">
    <w:name w:val="No Spacing"/>
    <w:uiPriority w:val="1"/>
    <w:qFormat/>
    <w:rsid w:val="00095E64"/>
    <w:rPr>
      <w:lang w:eastAsia="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Mencinsinresolver">
    <w:name w:val="Unresolved Mention"/>
    <w:basedOn w:val="Fuentedeprrafopredeter"/>
    <w:uiPriority w:val="99"/>
    <w:semiHidden/>
    <w:unhideWhenUsed/>
    <w:rsid w:val="00E54106"/>
    <w:rPr>
      <w:color w:val="605E5C"/>
      <w:shd w:val="clear" w:color="auto" w:fill="E1DFDD"/>
    </w:rPr>
  </w:style>
  <w:style w:type="paragraph" w:styleId="NormalWeb">
    <w:name w:val="Normal (Web)"/>
    <w:basedOn w:val="Normal"/>
    <w:uiPriority w:val="99"/>
    <w:semiHidden/>
    <w:unhideWhenUsed/>
    <w:rsid w:val="00DC05F5"/>
    <w:rPr>
      <w:sz w:val="24"/>
      <w:szCs w:val="24"/>
    </w:rPr>
  </w:style>
  <w:style w:type="table" w:styleId="Tablaconcuadrcula">
    <w:name w:val="Table Grid"/>
    <w:basedOn w:val="Tablanormal"/>
    <w:uiPriority w:val="39"/>
    <w:rsid w:val="009D28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2704144">
      <w:bodyDiv w:val="1"/>
      <w:marLeft w:val="0"/>
      <w:marRight w:val="0"/>
      <w:marTop w:val="0"/>
      <w:marBottom w:val="0"/>
      <w:divBdr>
        <w:top w:val="none" w:sz="0" w:space="0" w:color="auto"/>
        <w:left w:val="none" w:sz="0" w:space="0" w:color="auto"/>
        <w:bottom w:val="none" w:sz="0" w:space="0" w:color="auto"/>
        <w:right w:val="none" w:sz="0" w:space="0" w:color="auto"/>
      </w:divBdr>
    </w:div>
    <w:div w:id="19189062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iCFq5LyGe8Y8IMUXlVh+oD8uwA==">CgMxLjAyCGguZ2pkZ3hzMgloLjMwajB6bGw4AHIhMTVIU1NhUDlpSEJSVldUa3pTeUNzMjNOSV9Ec3ZTMGR5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6089</Words>
  <Characters>33493</Characters>
  <Application>Microsoft Office Word</Application>
  <DocSecurity>0</DocSecurity>
  <Lines>279</Lines>
  <Paragraphs>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movalle</dc:creator>
  <cp:lastModifiedBy>Jhon Bayron Bedoya Sandoval</cp:lastModifiedBy>
  <cp:revision>2</cp:revision>
  <dcterms:created xsi:type="dcterms:W3CDTF">2026-04-23T03:39:00Z</dcterms:created>
  <dcterms:modified xsi:type="dcterms:W3CDTF">2026-04-23T03:39:00Z</dcterms:modified>
</cp:coreProperties>
</file>